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6DEA" w14:textId="77777777" w:rsidR="00E51964" w:rsidRDefault="00E51964" w:rsidP="00E51964">
      <w:pPr>
        <w:tabs>
          <w:tab w:val="left" w:pos="8550"/>
        </w:tabs>
        <w:jc w:val="center"/>
        <w:rPr>
          <w:rFonts w:ascii="Arial" w:hAnsi="Arial" w:cs="Arial"/>
          <w:b/>
          <w:bCs/>
          <w:color w:val="0D304A"/>
          <w:sz w:val="32"/>
          <w:szCs w:val="32"/>
        </w:rPr>
      </w:pPr>
    </w:p>
    <w:p w14:paraId="577E5324" w14:textId="77777777" w:rsidR="00E51964" w:rsidRPr="0036086B" w:rsidRDefault="00E51964" w:rsidP="00E51964">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24488191" w14:textId="77777777" w:rsidR="00E51964" w:rsidRPr="0036086B" w:rsidRDefault="00E51964" w:rsidP="00E51964">
      <w:pPr>
        <w:tabs>
          <w:tab w:val="left" w:pos="8550"/>
        </w:tabs>
        <w:jc w:val="center"/>
        <w:rPr>
          <w:rFonts w:ascii="Arial" w:hAnsi="Arial" w:cs="Arial"/>
          <w:b/>
          <w:bCs/>
          <w:color w:val="0D304A"/>
          <w:sz w:val="32"/>
          <w:szCs w:val="32"/>
        </w:rPr>
      </w:pPr>
      <w:r>
        <w:rPr>
          <w:rFonts w:ascii="Arial" w:hAnsi="Arial" w:cs="Arial"/>
          <w:b/>
          <w:bCs/>
          <w:color w:val="0D304A"/>
          <w:sz w:val="32"/>
          <w:szCs w:val="32"/>
        </w:rPr>
        <w:t>September 27</w:t>
      </w:r>
      <w:r w:rsidRPr="0036086B">
        <w:rPr>
          <w:rFonts w:ascii="Arial" w:hAnsi="Arial" w:cs="Arial"/>
          <w:b/>
          <w:bCs/>
          <w:color w:val="0D304A"/>
          <w:sz w:val="32"/>
          <w:szCs w:val="32"/>
        </w:rPr>
        <w:t>, 2021</w:t>
      </w:r>
    </w:p>
    <w:p w14:paraId="0C9F6A53" w14:textId="77777777" w:rsidR="00E51964" w:rsidRPr="0036086B" w:rsidRDefault="00E51964" w:rsidP="00E51964">
      <w:pPr>
        <w:tabs>
          <w:tab w:val="left" w:pos="8550"/>
        </w:tabs>
        <w:jc w:val="center"/>
        <w:rPr>
          <w:rFonts w:ascii="Arial" w:hAnsi="Arial" w:cs="Arial"/>
          <w:b/>
          <w:bCs/>
          <w:color w:val="639D3F"/>
          <w:sz w:val="32"/>
          <w:szCs w:val="32"/>
        </w:rPr>
      </w:pPr>
    </w:p>
    <w:p w14:paraId="5ABEB30A" w14:textId="77777777" w:rsidR="00E51964" w:rsidRPr="0036086B" w:rsidRDefault="00E51964" w:rsidP="00E51964">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60E76C02" w14:textId="77777777" w:rsidR="00E51964" w:rsidRDefault="00E51964" w:rsidP="00E51964">
      <w:pPr>
        <w:tabs>
          <w:tab w:val="left" w:pos="8550"/>
        </w:tabs>
        <w:rPr>
          <w:rFonts w:ascii="Arial" w:hAnsi="Arial" w:cs="Arial"/>
          <w:bCs/>
          <w:color w:val="000000" w:themeColor="text1"/>
        </w:rPr>
      </w:pPr>
    </w:p>
    <w:p w14:paraId="29277FB7" w14:textId="77777777" w:rsidR="00E51964" w:rsidRDefault="00E51964" w:rsidP="00E51964">
      <w:pPr>
        <w:rPr>
          <w:rFonts w:ascii="Arial" w:hAnsi="Arial" w:cs="Arial"/>
          <w:bCs/>
          <w:color w:val="000000" w:themeColor="text1"/>
          <w:sz w:val="22"/>
          <w:szCs w:val="22"/>
        </w:rPr>
      </w:pPr>
      <w:r>
        <w:rPr>
          <w:rFonts w:ascii="Arial" w:hAnsi="Arial" w:cs="Arial"/>
          <w:bCs/>
          <w:color w:val="000000" w:themeColor="text1"/>
          <w:sz w:val="22"/>
          <w:szCs w:val="22"/>
        </w:rPr>
        <w:t>C</w:t>
      </w:r>
      <w:r w:rsidRPr="00F82A1C">
        <w:rPr>
          <w:rFonts w:ascii="Arial" w:hAnsi="Arial" w:cs="Arial"/>
          <w:bCs/>
          <w:color w:val="000000" w:themeColor="text1"/>
          <w:sz w:val="22"/>
          <w:szCs w:val="22"/>
        </w:rPr>
        <w:t xml:space="preserve">entral banks </w:t>
      </w:r>
      <w:r>
        <w:rPr>
          <w:rFonts w:ascii="Arial" w:hAnsi="Arial" w:cs="Arial"/>
          <w:bCs/>
          <w:color w:val="000000" w:themeColor="text1"/>
          <w:sz w:val="22"/>
          <w:szCs w:val="22"/>
        </w:rPr>
        <w:t>have a lot of influence on investors, markets and economies</w:t>
      </w:r>
      <w:r w:rsidRPr="00F82A1C">
        <w:rPr>
          <w:rFonts w:ascii="Arial" w:hAnsi="Arial" w:cs="Arial"/>
          <w:bCs/>
          <w:color w:val="000000" w:themeColor="text1"/>
          <w:sz w:val="22"/>
          <w:szCs w:val="22"/>
        </w:rPr>
        <w:t>.</w:t>
      </w:r>
    </w:p>
    <w:p w14:paraId="6B5B540A" w14:textId="77777777" w:rsidR="00E51964" w:rsidRDefault="00E51964" w:rsidP="00E51964">
      <w:pPr>
        <w:rPr>
          <w:rFonts w:ascii="Arial" w:hAnsi="Arial" w:cs="Arial"/>
          <w:bCs/>
          <w:color w:val="000000" w:themeColor="text1"/>
          <w:sz w:val="22"/>
          <w:szCs w:val="22"/>
        </w:rPr>
      </w:pPr>
    </w:p>
    <w:p w14:paraId="29B3E531" w14:textId="50F2669C" w:rsidR="00E51964" w:rsidRDefault="00E51964" w:rsidP="00E51964">
      <w:pPr>
        <w:rPr>
          <w:rFonts w:ascii="Arial" w:hAnsi="Arial" w:cs="Arial"/>
          <w:bCs/>
          <w:color w:val="000000" w:themeColor="text1"/>
          <w:sz w:val="22"/>
          <w:szCs w:val="22"/>
        </w:rPr>
      </w:pPr>
      <w:r>
        <w:rPr>
          <w:rFonts w:ascii="Arial" w:hAnsi="Arial" w:cs="Arial"/>
          <w:bCs/>
          <w:color w:val="000000" w:themeColor="text1"/>
          <w:sz w:val="22"/>
          <w:szCs w:val="22"/>
        </w:rPr>
        <w:t>For the last year or so, the Federal Reserve has been purchasing $120 billion of bonds every month to ensure United States markets remained liquid and interest rates remained low during the pandemic. Last Wednesday, the Fed announced that it is ready to begin to buy fewer bonds, a process known as tapering. The Fed’s taper is expected to begin before year-end. The Fed is not expected to push interest rates higher for some time so, overall, monetary policy will continue to support economic growth.</w:t>
      </w:r>
    </w:p>
    <w:p w14:paraId="756C4F75" w14:textId="77777777" w:rsidR="00E51964" w:rsidRDefault="00E51964" w:rsidP="00E51964">
      <w:pPr>
        <w:rPr>
          <w:rFonts w:ascii="Arial" w:hAnsi="Arial" w:cs="Arial"/>
          <w:bCs/>
          <w:color w:val="000000" w:themeColor="text1"/>
          <w:sz w:val="22"/>
          <w:szCs w:val="22"/>
        </w:rPr>
      </w:pPr>
    </w:p>
    <w:p w14:paraId="5731205B" w14:textId="7E574A28" w:rsidR="00E51964" w:rsidRDefault="00E51964" w:rsidP="00E51964">
      <w:pPr>
        <w:rPr>
          <w:rFonts w:ascii="Arial" w:hAnsi="Arial" w:cs="Arial"/>
          <w:bCs/>
          <w:color w:val="000000" w:themeColor="text1"/>
          <w:sz w:val="22"/>
          <w:szCs w:val="22"/>
        </w:rPr>
      </w:pPr>
      <w:r>
        <w:rPr>
          <w:rFonts w:ascii="Arial" w:hAnsi="Arial" w:cs="Arial"/>
          <w:bCs/>
          <w:color w:val="000000" w:themeColor="text1"/>
          <w:sz w:val="22"/>
          <w:szCs w:val="22"/>
        </w:rPr>
        <w:t>On Thursday, the Bank of England (BoE) said it expects inflation to exceed 4 percent by the end of the year. That’s twice the BoE’s target inflation rate. After the statement was issued, one measure of investors’ expectations priced in “…</w:t>
      </w:r>
      <w:r w:rsidRPr="00F04B70">
        <w:rPr>
          <w:rFonts w:ascii="Arial" w:hAnsi="Arial" w:cs="Arial"/>
          <w:bCs/>
          <w:color w:val="000000" w:themeColor="text1"/>
          <w:sz w:val="22"/>
          <w:szCs w:val="22"/>
        </w:rPr>
        <w:t>a 90</w:t>
      </w:r>
      <w:r>
        <w:rPr>
          <w:rFonts w:ascii="Arial" w:hAnsi="Arial" w:cs="Arial"/>
          <w:bCs/>
          <w:color w:val="000000" w:themeColor="text1"/>
          <w:sz w:val="22"/>
          <w:szCs w:val="22"/>
        </w:rPr>
        <w:t xml:space="preserve"> percent</w:t>
      </w:r>
      <w:r w:rsidRPr="00F04B70">
        <w:rPr>
          <w:rFonts w:ascii="Arial" w:hAnsi="Arial" w:cs="Arial"/>
          <w:bCs/>
          <w:color w:val="000000" w:themeColor="text1"/>
          <w:sz w:val="22"/>
          <w:szCs w:val="22"/>
        </w:rPr>
        <w:t xml:space="preserve"> chance that the BoE would raise rates by February</w:t>
      </w:r>
      <w:r>
        <w:rPr>
          <w:rFonts w:ascii="Arial" w:hAnsi="Arial" w:cs="Arial"/>
          <w:bCs/>
          <w:color w:val="000000" w:themeColor="text1"/>
          <w:sz w:val="22"/>
          <w:szCs w:val="22"/>
        </w:rPr>
        <w:t xml:space="preserve"> [2022]</w:t>
      </w:r>
      <w:r w:rsidRPr="00F04B70">
        <w:rPr>
          <w:rFonts w:ascii="Arial" w:hAnsi="Arial" w:cs="Arial"/>
          <w:bCs/>
          <w:color w:val="000000" w:themeColor="text1"/>
          <w:sz w:val="22"/>
          <w:szCs w:val="22"/>
        </w:rPr>
        <w:t>, up from just over 60</w:t>
      </w:r>
      <w:r>
        <w:rPr>
          <w:rFonts w:ascii="Arial" w:hAnsi="Arial" w:cs="Arial"/>
          <w:bCs/>
          <w:color w:val="000000" w:themeColor="text1"/>
          <w:sz w:val="22"/>
          <w:szCs w:val="22"/>
        </w:rPr>
        <w:t xml:space="preserve"> percent</w:t>
      </w:r>
      <w:r w:rsidRPr="00F04B70">
        <w:rPr>
          <w:rFonts w:ascii="Arial" w:hAnsi="Arial" w:cs="Arial"/>
          <w:bCs/>
          <w:color w:val="000000" w:themeColor="text1"/>
          <w:sz w:val="22"/>
          <w:szCs w:val="22"/>
        </w:rPr>
        <w:t xml:space="preserve"> before </w:t>
      </w:r>
      <w:r>
        <w:rPr>
          <w:rFonts w:ascii="Arial" w:hAnsi="Arial" w:cs="Arial"/>
          <w:bCs/>
          <w:color w:val="000000" w:themeColor="text1"/>
          <w:sz w:val="22"/>
          <w:szCs w:val="22"/>
        </w:rPr>
        <w:t>–</w:t>
      </w:r>
      <w:r w:rsidRPr="00F04B70">
        <w:rPr>
          <w:rFonts w:ascii="Arial" w:hAnsi="Arial" w:cs="Arial"/>
          <w:bCs/>
          <w:color w:val="000000" w:themeColor="text1"/>
          <w:sz w:val="22"/>
          <w:szCs w:val="22"/>
        </w:rPr>
        <w:t xml:space="preserve"> though some economists say this is premature given the challenges to growth</w:t>
      </w:r>
      <w:r>
        <w:rPr>
          <w:rFonts w:ascii="Arial" w:hAnsi="Arial" w:cs="Arial"/>
          <w:bCs/>
          <w:color w:val="000000" w:themeColor="text1"/>
          <w:sz w:val="22"/>
          <w:szCs w:val="22"/>
        </w:rPr>
        <w:t xml:space="preserve">,” reported </w:t>
      </w:r>
      <w:r w:rsidRPr="00E05E3F">
        <w:rPr>
          <w:rFonts w:ascii="Arial" w:hAnsi="Arial" w:cs="Arial"/>
          <w:bCs/>
          <w:color w:val="000000" w:themeColor="text1"/>
          <w:sz w:val="22"/>
          <w:szCs w:val="22"/>
        </w:rPr>
        <w:t>David Milliken and Andy Bruce</w:t>
      </w:r>
      <w:r>
        <w:rPr>
          <w:rFonts w:ascii="Arial" w:hAnsi="Arial" w:cs="Arial"/>
          <w:bCs/>
          <w:color w:val="000000" w:themeColor="text1"/>
          <w:sz w:val="22"/>
          <w:szCs w:val="22"/>
        </w:rPr>
        <w:t xml:space="preserve"> of </w:t>
      </w:r>
      <w:r w:rsidRPr="00E05E3F">
        <w:rPr>
          <w:rFonts w:ascii="Arial" w:hAnsi="Arial" w:cs="Arial"/>
          <w:bCs/>
          <w:i/>
          <w:iCs/>
          <w:color w:val="000000" w:themeColor="text1"/>
          <w:sz w:val="22"/>
          <w:szCs w:val="22"/>
        </w:rPr>
        <w:t>Reuters</w:t>
      </w:r>
      <w:r>
        <w:rPr>
          <w:rFonts w:ascii="Arial" w:hAnsi="Arial" w:cs="Arial"/>
          <w:bCs/>
          <w:color w:val="000000" w:themeColor="text1"/>
          <w:sz w:val="22"/>
          <w:szCs w:val="22"/>
        </w:rPr>
        <w:t>.</w:t>
      </w:r>
    </w:p>
    <w:p w14:paraId="12B32FC8" w14:textId="77777777" w:rsidR="00E51964" w:rsidRDefault="00E51964" w:rsidP="00E51964">
      <w:pPr>
        <w:rPr>
          <w:rFonts w:ascii="Arial" w:hAnsi="Arial" w:cs="Arial"/>
          <w:bCs/>
          <w:color w:val="000000" w:themeColor="text1"/>
          <w:sz w:val="22"/>
          <w:szCs w:val="22"/>
        </w:rPr>
      </w:pPr>
    </w:p>
    <w:p w14:paraId="7F3CD4A2" w14:textId="1BAF4C54" w:rsidR="00E51964" w:rsidRDefault="00E51964" w:rsidP="00E51964">
      <w:pPr>
        <w:rPr>
          <w:rFonts w:ascii="Arial" w:hAnsi="Arial" w:cs="Arial"/>
          <w:bCs/>
          <w:color w:val="000000" w:themeColor="text1"/>
          <w:sz w:val="22"/>
          <w:szCs w:val="22"/>
        </w:rPr>
      </w:pPr>
      <w:r>
        <w:rPr>
          <w:rFonts w:ascii="Arial" w:hAnsi="Arial" w:cs="Arial"/>
          <w:bCs/>
          <w:color w:val="000000" w:themeColor="text1"/>
          <w:sz w:val="22"/>
          <w:szCs w:val="22"/>
        </w:rPr>
        <w:t>Expectations that central bank policies will soon be less accommodative caused yields on 10-year government bonds in the United Kingdom and the United States to rise. “</w:t>
      </w:r>
      <w:r w:rsidRPr="006454BA">
        <w:rPr>
          <w:rFonts w:ascii="Arial" w:hAnsi="Arial" w:cs="Arial"/>
          <w:bCs/>
          <w:color w:val="000000" w:themeColor="text1"/>
          <w:sz w:val="22"/>
          <w:szCs w:val="22"/>
        </w:rPr>
        <w:t>Surging long-term bond yields put an outsized dent into valuations for growth companies because those firms are valued on a relatively long-term basis</w:t>
      </w:r>
      <w:r>
        <w:rPr>
          <w:rFonts w:ascii="Arial" w:hAnsi="Arial" w:cs="Arial"/>
          <w:bCs/>
          <w:color w:val="000000" w:themeColor="text1"/>
          <w:sz w:val="22"/>
          <w:szCs w:val="22"/>
        </w:rPr>
        <w:t>,” reported</w:t>
      </w:r>
      <w:r w:rsidRPr="00BB73BC">
        <w:rPr>
          <w:rFonts w:ascii="Arial" w:hAnsi="Arial" w:cs="Arial"/>
          <w:bCs/>
          <w:color w:val="000000" w:themeColor="text1"/>
          <w:sz w:val="22"/>
          <w:szCs w:val="22"/>
        </w:rPr>
        <w:t xml:space="preserve"> </w:t>
      </w:r>
      <w:r w:rsidRPr="006454BA">
        <w:rPr>
          <w:rFonts w:ascii="Arial" w:hAnsi="Arial" w:cs="Arial"/>
          <w:bCs/>
          <w:color w:val="000000" w:themeColor="text1"/>
          <w:sz w:val="22"/>
          <w:szCs w:val="22"/>
        </w:rPr>
        <w:t xml:space="preserve">Nicholas </w:t>
      </w:r>
      <w:proofErr w:type="spellStart"/>
      <w:r w:rsidRPr="006454BA">
        <w:rPr>
          <w:rFonts w:ascii="Arial" w:hAnsi="Arial" w:cs="Arial"/>
          <w:bCs/>
          <w:color w:val="000000" w:themeColor="text1"/>
          <w:sz w:val="22"/>
          <w:szCs w:val="22"/>
        </w:rPr>
        <w:t>Jasinski</w:t>
      </w:r>
      <w:proofErr w:type="spellEnd"/>
      <w:r w:rsidRPr="006454BA">
        <w:rPr>
          <w:rFonts w:ascii="Arial" w:hAnsi="Arial" w:cs="Arial"/>
          <w:bCs/>
          <w:color w:val="000000" w:themeColor="text1"/>
          <w:sz w:val="22"/>
          <w:szCs w:val="22"/>
        </w:rPr>
        <w:t xml:space="preserve">, Jacob </w:t>
      </w:r>
      <w:proofErr w:type="spellStart"/>
      <w:r w:rsidRPr="006454BA">
        <w:rPr>
          <w:rFonts w:ascii="Arial" w:hAnsi="Arial" w:cs="Arial"/>
          <w:bCs/>
          <w:color w:val="000000" w:themeColor="text1"/>
          <w:sz w:val="22"/>
          <w:szCs w:val="22"/>
        </w:rPr>
        <w:t>Sonenshine</w:t>
      </w:r>
      <w:proofErr w:type="spellEnd"/>
      <w:r w:rsidRPr="006454BA">
        <w:rPr>
          <w:rFonts w:ascii="Arial" w:hAnsi="Arial" w:cs="Arial"/>
          <w:bCs/>
          <w:color w:val="000000" w:themeColor="text1"/>
          <w:sz w:val="22"/>
          <w:szCs w:val="22"/>
        </w:rPr>
        <w:t xml:space="preserve"> and Jack Denton</w:t>
      </w:r>
      <w:r>
        <w:rPr>
          <w:rFonts w:ascii="Arial" w:hAnsi="Arial" w:cs="Arial"/>
          <w:bCs/>
          <w:color w:val="000000" w:themeColor="text1"/>
          <w:sz w:val="22"/>
          <w:szCs w:val="22"/>
        </w:rPr>
        <w:t xml:space="preserve"> of </w:t>
      </w:r>
      <w:r w:rsidRPr="006454BA">
        <w:rPr>
          <w:rFonts w:ascii="Arial" w:hAnsi="Arial" w:cs="Arial"/>
          <w:bCs/>
          <w:i/>
          <w:iCs/>
          <w:color w:val="000000" w:themeColor="text1"/>
          <w:sz w:val="22"/>
          <w:szCs w:val="22"/>
        </w:rPr>
        <w:t>Barron’s</w:t>
      </w:r>
      <w:r>
        <w:rPr>
          <w:rFonts w:ascii="Arial" w:hAnsi="Arial" w:cs="Arial"/>
          <w:bCs/>
          <w:color w:val="000000" w:themeColor="text1"/>
          <w:sz w:val="22"/>
          <w:szCs w:val="22"/>
        </w:rPr>
        <w:t>.”</w:t>
      </w:r>
    </w:p>
    <w:p w14:paraId="5BB647E8" w14:textId="77777777" w:rsidR="00E51964" w:rsidRDefault="00E51964" w:rsidP="00E51964">
      <w:pPr>
        <w:rPr>
          <w:rFonts w:ascii="Arial" w:hAnsi="Arial" w:cs="Arial"/>
          <w:bCs/>
          <w:color w:val="000000" w:themeColor="text1"/>
          <w:sz w:val="22"/>
          <w:szCs w:val="22"/>
        </w:rPr>
      </w:pPr>
    </w:p>
    <w:p w14:paraId="7AF16F43" w14:textId="2F0FE2B2" w:rsidR="00E51964" w:rsidRPr="008A55C4" w:rsidRDefault="00E51964" w:rsidP="00E51964">
      <w:pPr>
        <w:rPr>
          <w:rFonts w:ascii="Arial" w:hAnsi="Arial" w:cs="Arial"/>
          <w:bCs/>
          <w:color w:val="000000" w:themeColor="text1"/>
          <w:sz w:val="22"/>
          <w:szCs w:val="22"/>
        </w:rPr>
      </w:pPr>
      <w:r>
        <w:rPr>
          <w:rFonts w:ascii="Arial" w:hAnsi="Arial" w:cs="Arial"/>
          <w:bCs/>
          <w:color w:val="000000" w:themeColor="text1"/>
          <w:sz w:val="22"/>
          <w:szCs w:val="22"/>
        </w:rPr>
        <w:t>While</w:t>
      </w:r>
      <w:r w:rsidRPr="00AC4418">
        <w:rPr>
          <w:rFonts w:ascii="Arial" w:hAnsi="Arial" w:cs="Arial"/>
          <w:bCs/>
          <w:color w:val="000000" w:themeColor="text1"/>
          <w:sz w:val="22"/>
          <w:szCs w:val="22"/>
        </w:rPr>
        <w:t xml:space="preserve"> </w:t>
      </w:r>
      <w:r>
        <w:rPr>
          <w:rFonts w:ascii="Arial" w:hAnsi="Arial" w:cs="Arial"/>
          <w:bCs/>
          <w:color w:val="000000" w:themeColor="text1"/>
          <w:sz w:val="22"/>
          <w:szCs w:val="22"/>
        </w:rPr>
        <w:t>rising</w:t>
      </w:r>
      <w:r w:rsidRPr="00AC4418">
        <w:rPr>
          <w:rFonts w:ascii="Arial" w:hAnsi="Arial" w:cs="Arial"/>
          <w:bCs/>
          <w:color w:val="000000" w:themeColor="text1"/>
          <w:sz w:val="22"/>
          <w:szCs w:val="22"/>
        </w:rPr>
        <w:t xml:space="preserve"> yields </w:t>
      </w:r>
      <w:r>
        <w:rPr>
          <w:rFonts w:ascii="Arial" w:hAnsi="Arial" w:cs="Arial"/>
          <w:bCs/>
          <w:color w:val="000000" w:themeColor="text1"/>
          <w:sz w:val="22"/>
          <w:szCs w:val="22"/>
        </w:rPr>
        <w:t>can negatively affect</w:t>
      </w:r>
      <w:r w:rsidRPr="00AC4418">
        <w:rPr>
          <w:rFonts w:ascii="Arial" w:hAnsi="Arial" w:cs="Arial"/>
          <w:bCs/>
          <w:color w:val="000000" w:themeColor="text1"/>
          <w:sz w:val="22"/>
          <w:szCs w:val="22"/>
        </w:rPr>
        <w:t xml:space="preserve"> </w:t>
      </w:r>
      <w:r>
        <w:rPr>
          <w:rFonts w:ascii="Arial" w:hAnsi="Arial" w:cs="Arial"/>
          <w:bCs/>
          <w:color w:val="000000" w:themeColor="text1"/>
          <w:sz w:val="22"/>
          <w:szCs w:val="22"/>
        </w:rPr>
        <w:t xml:space="preserve">equity </w:t>
      </w:r>
      <w:r w:rsidRPr="00AC4418">
        <w:rPr>
          <w:rFonts w:ascii="Arial" w:hAnsi="Arial" w:cs="Arial"/>
          <w:bCs/>
          <w:color w:val="000000" w:themeColor="text1"/>
          <w:sz w:val="22"/>
          <w:szCs w:val="22"/>
        </w:rPr>
        <w:t>valuations</w:t>
      </w:r>
      <w:r>
        <w:rPr>
          <w:rFonts w:ascii="Arial" w:hAnsi="Arial" w:cs="Arial"/>
          <w:bCs/>
          <w:color w:val="000000" w:themeColor="text1"/>
          <w:sz w:val="22"/>
          <w:szCs w:val="22"/>
        </w:rPr>
        <w:t>,</w:t>
      </w:r>
      <w:r w:rsidRPr="00AC4418">
        <w:rPr>
          <w:rFonts w:ascii="Arial" w:hAnsi="Arial" w:cs="Arial"/>
          <w:bCs/>
          <w:color w:val="000000" w:themeColor="text1"/>
          <w:sz w:val="22"/>
          <w:szCs w:val="22"/>
        </w:rPr>
        <w:t xml:space="preserve"> </w:t>
      </w:r>
      <w:r>
        <w:rPr>
          <w:rFonts w:ascii="Arial" w:hAnsi="Arial" w:cs="Arial"/>
          <w:bCs/>
          <w:color w:val="000000" w:themeColor="text1"/>
          <w:sz w:val="22"/>
          <w:szCs w:val="22"/>
        </w:rPr>
        <w:t xml:space="preserve">they may not hurt share prices if company earnings continue to grow and investors’ appetite for equities remains strong, reported </w:t>
      </w:r>
      <w:r w:rsidRPr="00633502">
        <w:rPr>
          <w:rFonts w:ascii="Arial" w:hAnsi="Arial" w:cs="Arial"/>
          <w:bCs/>
          <w:color w:val="000000" w:themeColor="text1"/>
          <w:sz w:val="22"/>
          <w:szCs w:val="22"/>
        </w:rPr>
        <w:t xml:space="preserve">Sean </w:t>
      </w:r>
      <w:proofErr w:type="spellStart"/>
      <w:r w:rsidRPr="00633502">
        <w:rPr>
          <w:rFonts w:ascii="Arial" w:hAnsi="Arial" w:cs="Arial"/>
          <w:bCs/>
          <w:color w:val="000000" w:themeColor="text1"/>
          <w:sz w:val="22"/>
          <w:szCs w:val="22"/>
        </w:rPr>
        <w:t>Markowicz</w:t>
      </w:r>
      <w:proofErr w:type="spellEnd"/>
      <w:r>
        <w:rPr>
          <w:rFonts w:ascii="Arial" w:hAnsi="Arial" w:cs="Arial"/>
          <w:bCs/>
          <w:color w:val="000000" w:themeColor="text1"/>
          <w:sz w:val="22"/>
          <w:szCs w:val="22"/>
        </w:rPr>
        <w:t xml:space="preserve"> of </w:t>
      </w:r>
      <w:r w:rsidRPr="00FD1F1E">
        <w:rPr>
          <w:rFonts w:ascii="Arial" w:hAnsi="Arial" w:cs="Arial"/>
          <w:bCs/>
          <w:color w:val="000000" w:themeColor="text1"/>
          <w:sz w:val="22"/>
          <w:szCs w:val="22"/>
        </w:rPr>
        <w:t>Schroders</w:t>
      </w:r>
      <w:r>
        <w:rPr>
          <w:rFonts w:ascii="Arial" w:hAnsi="Arial" w:cs="Arial"/>
          <w:bCs/>
          <w:color w:val="000000" w:themeColor="text1"/>
          <w:sz w:val="22"/>
          <w:szCs w:val="22"/>
        </w:rPr>
        <w:t>.</w:t>
      </w:r>
    </w:p>
    <w:p w14:paraId="1B465155" w14:textId="77777777" w:rsidR="00E51964" w:rsidRDefault="00E51964" w:rsidP="00E51964">
      <w:pPr>
        <w:rPr>
          <w:rFonts w:ascii="Arial" w:hAnsi="Arial" w:cs="Arial"/>
          <w:bCs/>
          <w:color w:val="000000" w:themeColor="text1"/>
          <w:sz w:val="22"/>
          <w:szCs w:val="22"/>
        </w:rPr>
      </w:pPr>
    </w:p>
    <w:p w14:paraId="73AAE43F" w14:textId="2084741E" w:rsidR="00E51964" w:rsidRPr="00B91319" w:rsidRDefault="00E51964" w:rsidP="00E51964">
      <w:pPr>
        <w:rPr>
          <w:rFonts w:ascii="Arial" w:hAnsi="Arial" w:cs="Arial"/>
          <w:bCs/>
          <w:color w:val="000000" w:themeColor="text1"/>
          <w:sz w:val="22"/>
          <w:szCs w:val="22"/>
        </w:rPr>
      </w:pPr>
      <w:r>
        <w:rPr>
          <w:rFonts w:ascii="Arial" w:hAnsi="Arial" w:cs="Arial"/>
          <w:bCs/>
          <w:color w:val="000000" w:themeColor="text1"/>
          <w:sz w:val="22"/>
          <w:szCs w:val="22"/>
        </w:rPr>
        <w:t xml:space="preserve">Concerns about less accommodative monetary policy may be less pressing than worries about the health of China’s financial system. </w:t>
      </w:r>
      <w:r w:rsidRPr="00CD7D97">
        <w:rPr>
          <w:rFonts w:ascii="Arial" w:hAnsi="Arial" w:cs="Arial"/>
          <w:bCs/>
          <w:color w:val="000000" w:themeColor="text1"/>
          <w:sz w:val="22"/>
          <w:szCs w:val="22"/>
        </w:rPr>
        <w:t>The People’s Bank of China</w:t>
      </w:r>
      <w:r>
        <w:rPr>
          <w:rFonts w:ascii="Arial" w:hAnsi="Arial" w:cs="Arial"/>
          <w:bCs/>
          <w:color w:val="000000" w:themeColor="text1"/>
          <w:sz w:val="22"/>
          <w:szCs w:val="22"/>
        </w:rPr>
        <w:t xml:space="preserve"> injected cash into its banking system again last week to reassure investors after a large Chinese company missed a bond payment deadline, reported </w:t>
      </w:r>
      <w:r w:rsidRPr="00CD7D97">
        <w:rPr>
          <w:rFonts w:ascii="Arial" w:hAnsi="Arial" w:cs="Arial"/>
          <w:bCs/>
          <w:color w:val="000000" w:themeColor="text1"/>
          <w:sz w:val="22"/>
          <w:szCs w:val="22"/>
        </w:rPr>
        <w:t xml:space="preserve">Anshuman </w:t>
      </w:r>
      <w:proofErr w:type="spellStart"/>
      <w:r w:rsidRPr="00CD7D97">
        <w:rPr>
          <w:rFonts w:ascii="Arial" w:hAnsi="Arial" w:cs="Arial"/>
          <w:bCs/>
          <w:color w:val="000000" w:themeColor="text1"/>
          <w:sz w:val="22"/>
          <w:szCs w:val="22"/>
        </w:rPr>
        <w:t>Daga</w:t>
      </w:r>
      <w:proofErr w:type="spellEnd"/>
      <w:r w:rsidRPr="00CD7D97">
        <w:rPr>
          <w:rFonts w:ascii="Arial" w:hAnsi="Arial" w:cs="Arial"/>
          <w:bCs/>
          <w:color w:val="000000" w:themeColor="text1"/>
          <w:sz w:val="22"/>
          <w:szCs w:val="22"/>
        </w:rPr>
        <w:t>, Andrew Galbraith and Tom Westbrook</w:t>
      </w:r>
      <w:r>
        <w:rPr>
          <w:rFonts w:ascii="Arial" w:hAnsi="Arial" w:cs="Arial"/>
          <w:bCs/>
          <w:color w:val="000000" w:themeColor="text1"/>
          <w:sz w:val="22"/>
          <w:szCs w:val="22"/>
        </w:rPr>
        <w:t xml:space="preserve"> of </w:t>
      </w:r>
      <w:r w:rsidRPr="00CD7D97">
        <w:rPr>
          <w:rFonts w:ascii="Arial" w:hAnsi="Arial" w:cs="Arial"/>
          <w:bCs/>
          <w:i/>
          <w:iCs/>
          <w:color w:val="000000" w:themeColor="text1"/>
          <w:sz w:val="22"/>
          <w:szCs w:val="22"/>
        </w:rPr>
        <w:t>U.S. News &amp; World Report</w:t>
      </w:r>
      <w:r>
        <w:rPr>
          <w:rFonts w:ascii="Arial" w:hAnsi="Arial" w:cs="Arial"/>
          <w:bCs/>
          <w:color w:val="000000" w:themeColor="text1"/>
          <w:sz w:val="22"/>
          <w:szCs w:val="22"/>
        </w:rPr>
        <w:t>.</w:t>
      </w:r>
    </w:p>
    <w:p w14:paraId="7E0331D4" w14:textId="77777777" w:rsidR="00E51964" w:rsidRDefault="00E51964" w:rsidP="00E51964">
      <w:pPr>
        <w:rPr>
          <w:rFonts w:ascii="Arial" w:hAnsi="Arial" w:cs="Arial"/>
          <w:bCs/>
          <w:color w:val="000000" w:themeColor="text1"/>
          <w:sz w:val="22"/>
          <w:szCs w:val="22"/>
        </w:rPr>
      </w:pPr>
    </w:p>
    <w:p w14:paraId="5B9B966A" w14:textId="7B0AE944" w:rsidR="00E51964" w:rsidRPr="00DD7C95" w:rsidRDefault="00E51964" w:rsidP="00E51964">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After a sharp sell-off early last week, major U.S. stock indices finished the week flat to slightly higher, reported </w:t>
      </w:r>
      <w:r w:rsidRPr="00DD7C95">
        <w:rPr>
          <w:rFonts w:ascii="Arial" w:hAnsi="Arial" w:cs="Arial"/>
          <w:bCs/>
          <w:i/>
          <w:iCs/>
          <w:color w:val="000000" w:themeColor="text1"/>
          <w:sz w:val="22"/>
          <w:szCs w:val="22"/>
        </w:rPr>
        <w:t>Barron’s</w:t>
      </w:r>
      <w:r>
        <w:rPr>
          <w:rFonts w:ascii="Arial" w:hAnsi="Arial" w:cs="Arial"/>
          <w:bCs/>
          <w:color w:val="000000" w:themeColor="text1"/>
          <w:sz w:val="22"/>
          <w:szCs w:val="22"/>
        </w:rPr>
        <w:t>. The yield on 10-year U.S. Treasuries rose.</w:t>
      </w:r>
    </w:p>
    <w:p w14:paraId="7AE638D8" w14:textId="77777777" w:rsidR="00E51964" w:rsidRPr="00EF78F4" w:rsidRDefault="00E51964" w:rsidP="00E51964">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E51964" w:rsidRPr="00EF78F4" w14:paraId="67F03506" w14:textId="77777777" w:rsidTr="0033700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FBC97" w14:textId="77777777" w:rsidR="00E51964" w:rsidRPr="00EF78F4" w:rsidRDefault="00E51964" w:rsidP="00337000">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 xml:space="preserve">Data as of </w:t>
            </w:r>
            <w:r>
              <w:rPr>
                <w:rFonts w:ascii="Arial" w:hAnsi="Arial" w:cs="Arial"/>
                <w:b/>
                <w:bCs/>
                <w:color w:val="000000" w:themeColor="text1"/>
                <w:sz w:val="22"/>
                <w:szCs w:val="22"/>
              </w:rPr>
              <w:t>9</w:t>
            </w:r>
            <w:r w:rsidRPr="00EF78F4">
              <w:rPr>
                <w:rFonts w:ascii="Arial" w:hAnsi="Arial" w:cs="Arial"/>
                <w:b/>
                <w:bCs/>
                <w:color w:val="000000" w:themeColor="text1"/>
                <w:sz w:val="22"/>
                <w:szCs w:val="22"/>
              </w:rPr>
              <w:t>/</w:t>
            </w:r>
            <w:r>
              <w:rPr>
                <w:rFonts w:ascii="Arial" w:hAnsi="Arial" w:cs="Arial"/>
                <w:b/>
                <w:bCs/>
                <w:color w:val="000000" w:themeColor="text1"/>
                <w:sz w:val="22"/>
                <w:szCs w:val="22"/>
              </w:rPr>
              <w:t>24</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7592CC16" w14:textId="77777777" w:rsidR="00E51964" w:rsidRPr="00EF78F4" w:rsidRDefault="00E51964" w:rsidP="0033700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C631A" w14:textId="77777777" w:rsidR="00E51964" w:rsidRPr="00EF78F4" w:rsidRDefault="00E51964" w:rsidP="0033700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F62A0B5" w14:textId="77777777" w:rsidR="00E51964" w:rsidRPr="00EF78F4" w:rsidRDefault="00E51964" w:rsidP="0033700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45BC0570" w14:textId="77777777" w:rsidR="00E51964" w:rsidRPr="00EF78F4" w:rsidRDefault="00E51964" w:rsidP="0033700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92970AE" w14:textId="77777777" w:rsidR="00E51964" w:rsidRPr="00EF78F4" w:rsidRDefault="00E51964" w:rsidP="0033700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D498A2" w14:textId="77777777" w:rsidR="00E51964" w:rsidRPr="00EF78F4" w:rsidRDefault="00E51964" w:rsidP="0033700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E51964" w:rsidRPr="00EF78F4" w14:paraId="0ED59BFA" w14:textId="77777777" w:rsidTr="0033700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52F0D89" w14:textId="77777777" w:rsidR="00E51964" w:rsidRPr="00EF78F4" w:rsidRDefault="00E51964" w:rsidP="00337000">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7926F8E3" w14:textId="77777777" w:rsidR="00E51964" w:rsidRPr="006B387B" w:rsidRDefault="00E51964" w:rsidP="00337000">
            <w:pPr>
              <w:tabs>
                <w:tab w:val="left" w:pos="8550"/>
              </w:tabs>
              <w:jc w:val="center"/>
              <w:rPr>
                <w:rFonts w:ascii="Arial" w:hAnsi="Arial" w:cs="Arial"/>
                <w:sz w:val="22"/>
                <w:szCs w:val="22"/>
              </w:rPr>
            </w:pPr>
            <w:r>
              <w:rPr>
                <w:rFonts w:ascii="Arial" w:hAnsi="Arial" w:cs="Arial"/>
                <w:sz w:val="22"/>
                <w:szCs w:val="22"/>
              </w:rPr>
              <w:t>0.5</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67271E8A" w14:textId="77777777" w:rsidR="00E51964" w:rsidRPr="006B387B" w:rsidRDefault="00E51964" w:rsidP="00337000">
            <w:pPr>
              <w:tabs>
                <w:tab w:val="left" w:pos="8550"/>
              </w:tabs>
              <w:jc w:val="center"/>
              <w:rPr>
                <w:rFonts w:ascii="Arial" w:hAnsi="Arial" w:cs="Arial"/>
                <w:sz w:val="22"/>
                <w:szCs w:val="22"/>
              </w:rPr>
            </w:pPr>
            <w:r>
              <w:rPr>
                <w:rFonts w:ascii="Arial" w:hAnsi="Arial" w:cs="Arial"/>
                <w:sz w:val="22"/>
                <w:szCs w:val="22"/>
              </w:rPr>
              <w:t>18.6</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62CB7A8F" w14:textId="77777777" w:rsidR="00E51964" w:rsidRPr="006B387B" w:rsidRDefault="00E51964" w:rsidP="00337000">
            <w:pPr>
              <w:tabs>
                <w:tab w:val="left" w:pos="8550"/>
              </w:tabs>
              <w:jc w:val="center"/>
              <w:rPr>
                <w:rFonts w:ascii="Arial" w:hAnsi="Arial" w:cs="Arial"/>
                <w:sz w:val="22"/>
                <w:szCs w:val="22"/>
              </w:rPr>
            </w:pPr>
            <w:r>
              <w:rPr>
                <w:rFonts w:ascii="Arial" w:hAnsi="Arial" w:cs="Arial"/>
                <w:sz w:val="22"/>
                <w:szCs w:val="22"/>
              </w:rPr>
              <w:t>37.2</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3329A567" w14:textId="77777777" w:rsidR="00E51964" w:rsidRPr="006B387B" w:rsidRDefault="00E51964" w:rsidP="00337000">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5.1</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5FBB3802" w14:textId="77777777" w:rsidR="00E51964" w:rsidRPr="006B387B" w:rsidRDefault="00E51964" w:rsidP="00337000">
            <w:pPr>
              <w:tabs>
                <w:tab w:val="left" w:pos="8550"/>
              </w:tabs>
              <w:jc w:val="center"/>
              <w:rPr>
                <w:rFonts w:ascii="Arial" w:hAnsi="Arial" w:cs="Arial"/>
                <w:sz w:val="22"/>
                <w:szCs w:val="22"/>
              </w:rPr>
            </w:pPr>
            <w:r w:rsidRPr="006B387B">
              <w:rPr>
                <w:rFonts w:ascii="Arial" w:hAnsi="Arial" w:cs="Arial"/>
                <w:sz w:val="22"/>
                <w:szCs w:val="22"/>
              </w:rPr>
              <w:t>15.</w:t>
            </w:r>
            <w:r>
              <w:rPr>
                <w:rFonts w:ascii="Arial" w:hAnsi="Arial" w:cs="Arial"/>
                <w:sz w:val="22"/>
                <w:szCs w:val="22"/>
              </w:rPr>
              <w:t>7</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2C608B88" w14:textId="77777777" w:rsidR="00E51964" w:rsidRPr="006B387B" w:rsidRDefault="00E51964" w:rsidP="00337000">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4.4</w:t>
            </w:r>
            <w:r w:rsidRPr="006B387B">
              <w:rPr>
                <w:rFonts w:ascii="Arial" w:hAnsi="Arial" w:cs="Arial"/>
                <w:sz w:val="22"/>
                <w:szCs w:val="22"/>
              </w:rPr>
              <w:t>%</w:t>
            </w:r>
          </w:p>
        </w:tc>
      </w:tr>
      <w:tr w:rsidR="00E51964" w:rsidRPr="00EF78F4" w14:paraId="05E667BA" w14:textId="77777777" w:rsidTr="0033700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D88CF" w14:textId="77777777" w:rsidR="00E51964" w:rsidRPr="00EF78F4" w:rsidRDefault="00E51964" w:rsidP="00337000">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6F062F82" w14:textId="77777777" w:rsidR="00E51964" w:rsidRPr="006B387B" w:rsidRDefault="00E51964" w:rsidP="00337000">
            <w:pPr>
              <w:tabs>
                <w:tab w:val="left" w:pos="8550"/>
              </w:tabs>
              <w:jc w:val="center"/>
              <w:rPr>
                <w:rFonts w:ascii="Arial" w:hAnsi="Arial" w:cs="Arial"/>
                <w:sz w:val="22"/>
                <w:szCs w:val="22"/>
              </w:rPr>
            </w:pPr>
            <w:r>
              <w:rPr>
                <w:rFonts w:ascii="Arial" w:hAnsi="Arial" w:cs="Arial"/>
                <w:sz w:val="22"/>
                <w:szCs w:val="22"/>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984E9" w14:textId="77777777" w:rsidR="00E51964" w:rsidRPr="006B387B" w:rsidRDefault="00E51964" w:rsidP="00337000">
            <w:pPr>
              <w:tabs>
                <w:tab w:val="left" w:pos="263"/>
                <w:tab w:val="center" w:pos="372"/>
                <w:tab w:val="left" w:pos="8550"/>
              </w:tabs>
              <w:jc w:val="center"/>
              <w:rPr>
                <w:rFonts w:ascii="Arial" w:hAnsi="Arial" w:cs="Arial"/>
                <w:sz w:val="22"/>
                <w:szCs w:val="22"/>
              </w:rPr>
            </w:pPr>
            <w:r>
              <w:rPr>
                <w:rFonts w:ascii="Arial" w:hAnsi="Arial" w:cs="Arial"/>
                <w:sz w:val="22"/>
                <w:szCs w:val="22"/>
              </w:rPr>
              <w:t>6.9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44CD40F" w14:textId="77777777" w:rsidR="00E51964" w:rsidRPr="006B387B" w:rsidRDefault="00E51964" w:rsidP="00337000">
            <w:pPr>
              <w:tabs>
                <w:tab w:val="left" w:pos="8550"/>
              </w:tabs>
              <w:jc w:val="center"/>
              <w:rPr>
                <w:rFonts w:ascii="Arial" w:hAnsi="Arial" w:cs="Arial"/>
                <w:sz w:val="22"/>
                <w:szCs w:val="22"/>
              </w:rPr>
            </w:pPr>
            <w:r w:rsidRPr="006B387B">
              <w:rPr>
                <w:rFonts w:ascii="Arial" w:hAnsi="Arial" w:cs="Arial"/>
                <w:sz w:val="22"/>
                <w:szCs w:val="22"/>
              </w:rPr>
              <w:t>2</w:t>
            </w:r>
            <w:r>
              <w:rPr>
                <w:rFonts w:ascii="Arial" w:hAnsi="Arial" w:cs="Arial"/>
                <w:sz w:val="22"/>
                <w:szCs w:val="22"/>
              </w:rPr>
              <w:t>7.1</w:t>
            </w:r>
          </w:p>
        </w:tc>
        <w:tc>
          <w:tcPr>
            <w:tcW w:w="900" w:type="dxa"/>
            <w:tcBorders>
              <w:top w:val="single" w:sz="4" w:space="0" w:color="auto"/>
              <w:left w:val="nil"/>
              <w:bottom w:val="single" w:sz="4" w:space="0" w:color="auto"/>
              <w:right w:val="single" w:sz="4" w:space="0" w:color="auto"/>
            </w:tcBorders>
            <w:shd w:val="clear" w:color="auto" w:fill="auto"/>
            <w:vAlign w:val="center"/>
          </w:tcPr>
          <w:p w14:paraId="62700F20" w14:textId="77777777" w:rsidR="00E51964" w:rsidRPr="006B387B" w:rsidRDefault="00E51964" w:rsidP="00337000">
            <w:pPr>
              <w:tabs>
                <w:tab w:val="left" w:pos="8550"/>
              </w:tabs>
              <w:jc w:val="center"/>
              <w:rPr>
                <w:rFonts w:ascii="Arial" w:hAnsi="Arial" w:cs="Arial"/>
                <w:sz w:val="22"/>
                <w:szCs w:val="22"/>
              </w:rPr>
            </w:pPr>
            <w:r>
              <w:rPr>
                <w:rFonts w:ascii="Arial" w:hAnsi="Arial" w:cs="Arial"/>
                <w:sz w:val="22"/>
                <w:szCs w:val="22"/>
              </w:rPr>
              <w:t>6.6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0012A00" w14:textId="77777777" w:rsidR="00E51964" w:rsidRPr="006B387B" w:rsidRDefault="00E51964" w:rsidP="00337000">
            <w:pPr>
              <w:tabs>
                <w:tab w:val="left" w:pos="8550"/>
              </w:tabs>
              <w:jc w:val="center"/>
              <w:rPr>
                <w:rFonts w:ascii="Arial" w:hAnsi="Arial" w:cs="Arial"/>
                <w:sz w:val="22"/>
                <w:szCs w:val="22"/>
              </w:rPr>
            </w:pPr>
            <w:r>
              <w:rPr>
                <w:rFonts w:ascii="Arial" w:hAnsi="Arial" w:cs="Arial"/>
                <w:sz w:val="22"/>
                <w:szCs w:val="22"/>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B500A4" w14:textId="77777777" w:rsidR="00E51964" w:rsidRPr="006B387B" w:rsidRDefault="00E51964" w:rsidP="00337000">
            <w:pPr>
              <w:tabs>
                <w:tab w:val="left" w:pos="8550"/>
              </w:tabs>
              <w:jc w:val="center"/>
              <w:rPr>
                <w:rFonts w:ascii="Arial" w:hAnsi="Arial" w:cs="Arial"/>
                <w:sz w:val="22"/>
                <w:szCs w:val="22"/>
              </w:rPr>
            </w:pPr>
            <w:r>
              <w:rPr>
                <w:rFonts w:ascii="Arial" w:hAnsi="Arial" w:cs="Arial"/>
                <w:sz w:val="22"/>
                <w:szCs w:val="22"/>
              </w:rPr>
              <w:t>5.7</w:t>
            </w:r>
          </w:p>
        </w:tc>
      </w:tr>
      <w:tr w:rsidR="00E51964" w:rsidRPr="00EF78F4" w14:paraId="114D8A90" w14:textId="77777777" w:rsidTr="0033700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60B3B" w14:textId="77777777" w:rsidR="00E51964" w:rsidRPr="00EF78F4" w:rsidRDefault="00E51964" w:rsidP="00337000">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1589CD46" w14:textId="77777777" w:rsidR="00E51964" w:rsidRPr="006B387B" w:rsidRDefault="00E51964" w:rsidP="00337000">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4AD33" w14:textId="77777777" w:rsidR="00E51964" w:rsidRPr="006B387B" w:rsidRDefault="00E51964" w:rsidP="00337000">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w:t>
            </w:r>
            <w:r>
              <w:rPr>
                <w:rFonts w:ascii="Arial" w:hAnsi="Arial" w:cs="Arial"/>
                <w:sz w:val="22"/>
                <w:szCs w:val="22"/>
              </w:rPr>
              <w:t>/</w:t>
            </w:r>
            <w:r w:rsidRPr="006B387B">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CC57542" w14:textId="77777777" w:rsidR="00E51964" w:rsidRPr="006B387B" w:rsidRDefault="00E51964" w:rsidP="00337000">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3E306F38" w14:textId="77777777" w:rsidR="00E51964" w:rsidRPr="006B387B" w:rsidRDefault="00E51964" w:rsidP="00337000">
            <w:pPr>
              <w:tabs>
                <w:tab w:val="left" w:pos="8550"/>
              </w:tabs>
              <w:jc w:val="center"/>
              <w:rPr>
                <w:rFonts w:ascii="Arial" w:hAnsi="Arial" w:cs="Arial"/>
                <w:sz w:val="22"/>
                <w:szCs w:val="22"/>
              </w:rPr>
            </w:pPr>
            <w:r>
              <w:rPr>
                <w:rFonts w:ascii="Arial" w:hAnsi="Arial" w:cs="Arial"/>
                <w:sz w:val="22"/>
                <w:szCs w:val="22"/>
              </w:rPr>
              <w:t>3.1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3279620" w14:textId="77777777" w:rsidR="00E51964" w:rsidRPr="006B387B" w:rsidRDefault="00E51964" w:rsidP="00337000">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B74137" w14:textId="77777777" w:rsidR="00E51964" w:rsidRPr="006B387B" w:rsidRDefault="00E51964" w:rsidP="00337000">
            <w:pPr>
              <w:tabs>
                <w:tab w:val="left" w:pos="8550"/>
              </w:tabs>
              <w:jc w:val="center"/>
              <w:rPr>
                <w:rFonts w:ascii="Arial" w:hAnsi="Arial" w:cs="Arial"/>
                <w:sz w:val="22"/>
                <w:szCs w:val="22"/>
              </w:rPr>
            </w:pPr>
            <w:r>
              <w:rPr>
                <w:rFonts w:ascii="Arial" w:hAnsi="Arial" w:cs="Arial"/>
                <w:sz w:val="22"/>
                <w:szCs w:val="22"/>
              </w:rPr>
              <w:t>1.9</w:t>
            </w:r>
          </w:p>
        </w:tc>
      </w:tr>
      <w:tr w:rsidR="00E51964" w:rsidRPr="00EF78F4" w14:paraId="580C08F4" w14:textId="77777777" w:rsidTr="0033700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976E6" w14:textId="77777777" w:rsidR="00E51964" w:rsidRPr="00EF78F4" w:rsidRDefault="00E51964" w:rsidP="00337000">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59E350EC" w14:textId="77777777" w:rsidR="00E51964" w:rsidRPr="006B387B" w:rsidRDefault="00E51964" w:rsidP="00337000">
            <w:pPr>
              <w:tabs>
                <w:tab w:val="left" w:pos="8550"/>
              </w:tabs>
              <w:jc w:val="center"/>
              <w:rPr>
                <w:rFonts w:ascii="Arial" w:hAnsi="Arial" w:cs="Arial"/>
                <w:sz w:val="22"/>
                <w:szCs w:val="22"/>
              </w:rPr>
            </w:pPr>
            <w:r>
              <w:rPr>
                <w:rFonts w:ascii="Arial" w:hAnsi="Arial" w:cs="Arial"/>
                <w:sz w:val="22"/>
                <w:szCs w:val="22"/>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45D88" w14:textId="77777777" w:rsidR="00E51964" w:rsidRPr="006B387B" w:rsidRDefault="00E51964" w:rsidP="00337000">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7.5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CA4DE2F" w14:textId="77777777" w:rsidR="00E51964" w:rsidRPr="006B387B" w:rsidRDefault="00E51964" w:rsidP="00337000">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6.2</w:t>
            </w:r>
          </w:p>
        </w:tc>
        <w:tc>
          <w:tcPr>
            <w:tcW w:w="900" w:type="dxa"/>
            <w:tcBorders>
              <w:top w:val="single" w:sz="4" w:space="0" w:color="auto"/>
              <w:left w:val="nil"/>
              <w:bottom w:val="single" w:sz="4" w:space="0" w:color="auto"/>
              <w:right w:val="single" w:sz="4" w:space="0" w:color="auto"/>
            </w:tcBorders>
            <w:shd w:val="clear" w:color="auto" w:fill="auto"/>
            <w:vAlign w:val="center"/>
          </w:tcPr>
          <w:p w14:paraId="1BEC7843" w14:textId="77777777" w:rsidR="00E51964" w:rsidRPr="006B387B" w:rsidRDefault="00E51964" w:rsidP="00337000">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3.3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9CE5058" w14:textId="77777777" w:rsidR="00E51964" w:rsidRPr="006B387B" w:rsidRDefault="00E51964" w:rsidP="00337000">
            <w:pPr>
              <w:tabs>
                <w:tab w:val="left" w:pos="8550"/>
              </w:tabs>
              <w:jc w:val="center"/>
              <w:rPr>
                <w:rFonts w:ascii="Arial" w:hAnsi="Arial" w:cs="Arial"/>
                <w:sz w:val="22"/>
                <w:szCs w:val="22"/>
              </w:rPr>
            </w:pPr>
            <w:r>
              <w:rPr>
                <w:rFonts w:ascii="Arial" w:hAnsi="Arial" w:cs="Arial"/>
                <w:sz w:val="22"/>
                <w:szCs w:val="22"/>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ED2E09" w14:textId="77777777" w:rsidR="00E51964" w:rsidRPr="006B387B" w:rsidRDefault="00E51964" w:rsidP="00337000">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9</w:t>
            </w:r>
          </w:p>
        </w:tc>
      </w:tr>
      <w:tr w:rsidR="00E51964" w:rsidRPr="00EF78F4" w14:paraId="3B2D7F1D" w14:textId="77777777" w:rsidTr="0033700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051E1" w14:textId="77777777" w:rsidR="00E51964" w:rsidRPr="00EF78F4" w:rsidRDefault="00E51964" w:rsidP="00337000">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4D120B64" w14:textId="77777777" w:rsidR="00E51964" w:rsidRPr="006B387B" w:rsidRDefault="00E51964" w:rsidP="00337000">
            <w:pPr>
              <w:tabs>
                <w:tab w:val="left" w:pos="8550"/>
              </w:tabs>
              <w:jc w:val="center"/>
              <w:rPr>
                <w:rFonts w:ascii="Arial" w:hAnsi="Arial" w:cs="Arial"/>
                <w:sz w:val="22"/>
                <w:szCs w:val="22"/>
              </w:rPr>
            </w:pPr>
            <w:r>
              <w:rPr>
                <w:rFonts w:ascii="Arial" w:hAnsi="Arial" w:cs="Arial"/>
                <w:sz w:val="22"/>
                <w:szCs w:val="22"/>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BCF53" w14:textId="77777777" w:rsidR="00E51964" w:rsidRPr="006B387B" w:rsidRDefault="00E51964" w:rsidP="00337000">
            <w:pPr>
              <w:tabs>
                <w:tab w:val="left" w:pos="8550"/>
              </w:tabs>
              <w:jc w:val="center"/>
              <w:rPr>
                <w:rFonts w:ascii="Arial" w:hAnsi="Arial" w:cs="Arial"/>
                <w:sz w:val="22"/>
                <w:szCs w:val="22"/>
              </w:rPr>
            </w:pPr>
            <w:r>
              <w:rPr>
                <w:rFonts w:ascii="Arial" w:hAnsi="Arial" w:cs="Arial"/>
                <w:sz w:val="22"/>
                <w:szCs w:val="22"/>
              </w:rPr>
              <w:t>26.8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F5D6E62" w14:textId="77777777" w:rsidR="00E51964" w:rsidRPr="006B387B" w:rsidRDefault="00E51964" w:rsidP="00337000">
            <w:pPr>
              <w:tabs>
                <w:tab w:val="left" w:pos="8550"/>
              </w:tabs>
              <w:jc w:val="center"/>
              <w:rPr>
                <w:rFonts w:ascii="Arial" w:hAnsi="Arial" w:cs="Arial"/>
                <w:sz w:val="22"/>
                <w:szCs w:val="22"/>
              </w:rPr>
            </w:pPr>
            <w:r>
              <w:rPr>
                <w:rFonts w:ascii="Arial" w:hAnsi="Arial" w:cs="Arial"/>
                <w:sz w:val="22"/>
                <w:szCs w:val="22"/>
              </w:rPr>
              <w:t>39.7</w:t>
            </w:r>
          </w:p>
        </w:tc>
        <w:tc>
          <w:tcPr>
            <w:tcW w:w="900" w:type="dxa"/>
            <w:tcBorders>
              <w:top w:val="single" w:sz="4" w:space="0" w:color="auto"/>
              <w:left w:val="nil"/>
              <w:bottom w:val="single" w:sz="4" w:space="0" w:color="auto"/>
              <w:right w:val="single" w:sz="4" w:space="0" w:color="auto"/>
            </w:tcBorders>
            <w:shd w:val="clear" w:color="auto" w:fill="auto"/>
            <w:vAlign w:val="center"/>
          </w:tcPr>
          <w:p w14:paraId="5E60672A" w14:textId="77777777" w:rsidR="00E51964" w:rsidRPr="006B387B" w:rsidRDefault="00E51964" w:rsidP="00337000">
            <w:pPr>
              <w:tabs>
                <w:tab w:val="left" w:pos="8550"/>
              </w:tabs>
              <w:jc w:val="center"/>
              <w:rPr>
                <w:rFonts w:ascii="Arial" w:hAnsi="Arial" w:cs="Arial"/>
                <w:sz w:val="22"/>
                <w:szCs w:val="22"/>
              </w:rPr>
            </w:pPr>
            <w:r>
              <w:rPr>
                <w:rFonts w:ascii="Arial" w:hAnsi="Arial" w:cs="Arial"/>
                <w:sz w:val="22"/>
                <w:szCs w:val="22"/>
              </w:rPr>
              <w:t>5.3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3628DA0" w14:textId="77777777" w:rsidR="00E51964" w:rsidRPr="006B387B" w:rsidRDefault="00E51964" w:rsidP="00337000">
            <w:pPr>
              <w:tabs>
                <w:tab w:val="left" w:pos="8550"/>
              </w:tabs>
              <w:jc w:val="center"/>
              <w:rPr>
                <w:rFonts w:ascii="Arial" w:hAnsi="Arial" w:cs="Arial"/>
                <w:sz w:val="22"/>
                <w:szCs w:val="22"/>
              </w:rPr>
            </w:pPr>
            <w:r>
              <w:rPr>
                <w:rFonts w:ascii="Arial" w:hAnsi="Arial" w:cs="Arial"/>
                <w:sz w:val="22"/>
                <w:szCs w:val="22"/>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E00505" w14:textId="77777777" w:rsidR="00E51964" w:rsidRPr="006B387B" w:rsidRDefault="00E51964" w:rsidP="00337000">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3.6</w:t>
            </w:r>
          </w:p>
        </w:tc>
      </w:tr>
    </w:tbl>
    <w:p w14:paraId="5B723D65" w14:textId="77777777" w:rsidR="00E51964" w:rsidRPr="006F4C0C" w:rsidRDefault="00E51964" w:rsidP="00E51964">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48AA3EEE" w14:textId="77777777" w:rsidR="00E51964" w:rsidRPr="006F4C0C" w:rsidRDefault="00E51964" w:rsidP="00E51964">
      <w:pPr>
        <w:rPr>
          <w:rFonts w:ascii="Arial" w:hAnsi="Arial" w:cs="Arial"/>
          <w:sz w:val="18"/>
          <w:szCs w:val="18"/>
        </w:rPr>
      </w:pPr>
      <w:r w:rsidRPr="006F4C0C">
        <w:rPr>
          <w:rFonts w:ascii="Arial" w:hAnsi="Arial" w:cs="Arial"/>
          <w:sz w:val="18"/>
          <w:szCs w:val="18"/>
        </w:rPr>
        <w:lastRenderedPageBreak/>
        <w:t>Sources: Yahoo! Finance; MarketWatch; djindexes.com; Federal Reserve Bank of St. Louis; London Bullion Market Association.</w:t>
      </w:r>
    </w:p>
    <w:p w14:paraId="463D183D" w14:textId="77777777" w:rsidR="00E51964" w:rsidRDefault="00E51964" w:rsidP="00E51964">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30D7A597" w14:textId="77777777" w:rsidR="00E51964" w:rsidRPr="00764D7B" w:rsidRDefault="00E51964" w:rsidP="00E51964">
      <w:pPr>
        <w:rPr>
          <w:rFonts w:ascii="Arial" w:hAnsi="Arial" w:cs="Arial"/>
          <w:sz w:val="18"/>
          <w:szCs w:val="18"/>
        </w:rPr>
      </w:pPr>
    </w:p>
    <w:p w14:paraId="5BF86BFE" w14:textId="6485B4B3" w:rsidR="00E51964" w:rsidRDefault="00E51964" w:rsidP="00E51964">
      <w:pPr>
        <w:rPr>
          <w:rFonts w:ascii="Arial" w:hAnsi="Arial" w:cs="Arial"/>
          <w:color w:val="000000" w:themeColor="text1"/>
          <w:sz w:val="22"/>
          <w:szCs w:val="22"/>
        </w:rPr>
      </w:pPr>
      <w:r>
        <w:rPr>
          <w:rFonts w:ascii="Arial" w:hAnsi="Arial" w:cs="Arial"/>
          <w:b/>
          <w:bCs/>
          <w:caps/>
          <w:color w:val="0D304A"/>
          <w:sz w:val="22"/>
          <w:szCs w:val="22"/>
        </w:rPr>
        <w:t xml:space="preserve">banned in China. </w:t>
      </w:r>
      <w:r>
        <w:rPr>
          <w:rFonts w:ascii="Arial" w:hAnsi="Arial" w:cs="Arial"/>
          <w:color w:val="000000" w:themeColor="text1"/>
          <w:sz w:val="22"/>
          <w:szCs w:val="22"/>
        </w:rPr>
        <w:t>China has been trying to limit cryptocurrencies for a long time without much success. In 2019, cryptocurrency trading was banned; however, the practice persisted. Earlier this year, the Chinese government restricted</w:t>
      </w:r>
      <w:r w:rsidRPr="00AC1A1F">
        <w:rPr>
          <w:rFonts w:ascii="Arial" w:hAnsi="Arial" w:cs="Arial"/>
          <w:color w:val="000000" w:themeColor="text1"/>
          <w:sz w:val="22"/>
          <w:szCs w:val="22"/>
        </w:rPr>
        <w:t xml:space="preserve"> banks and payment </w:t>
      </w:r>
      <w:r>
        <w:rPr>
          <w:rFonts w:ascii="Arial" w:hAnsi="Arial" w:cs="Arial"/>
          <w:color w:val="000000" w:themeColor="text1"/>
          <w:sz w:val="22"/>
          <w:szCs w:val="22"/>
        </w:rPr>
        <w:t>companies</w:t>
      </w:r>
      <w:r w:rsidRPr="00AC1A1F">
        <w:rPr>
          <w:rFonts w:ascii="Arial" w:hAnsi="Arial" w:cs="Arial"/>
          <w:color w:val="000000" w:themeColor="text1"/>
          <w:sz w:val="22"/>
          <w:szCs w:val="22"/>
        </w:rPr>
        <w:t xml:space="preserve"> from providing services related to cryptocurrency transactions</w:t>
      </w:r>
      <w:r>
        <w:rPr>
          <w:rFonts w:ascii="Arial" w:hAnsi="Arial" w:cs="Arial"/>
          <w:color w:val="000000" w:themeColor="text1"/>
          <w:sz w:val="22"/>
          <w:szCs w:val="22"/>
        </w:rPr>
        <w:t xml:space="preserve"> and </w:t>
      </w:r>
      <w:r w:rsidRPr="00AC1A1F">
        <w:rPr>
          <w:rFonts w:ascii="Arial" w:hAnsi="Arial" w:cs="Arial"/>
          <w:color w:val="000000" w:themeColor="text1"/>
          <w:sz w:val="22"/>
          <w:szCs w:val="22"/>
        </w:rPr>
        <w:t xml:space="preserve">warned </w:t>
      </w:r>
      <w:r>
        <w:rPr>
          <w:rFonts w:ascii="Arial" w:hAnsi="Arial" w:cs="Arial"/>
          <w:color w:val="000000" w:themeColor="text1"/>
          <w:sz w:val="22"/>
          <w:szCs w:val="22"/>
        </w:rPr>
        <w:t>buyers</w:t>
      </w:r>
      <w:r w:rsidRPr="00AC1A1F">
        <w:rPr>
          <w:rFonts w:ascii="Arial" w:hAnsi="Arial" w:cs="Arial"/>
          <w:color w:val="000000" w:themeColor="text1"/>
          <w:sz w:val="22"/>
          <w:szCs w:val="22"/>
        </w:rPr>
        <w:t xml:space="preserve"> </w:t>
      </w:r>
      <w:r>
        <w:rPr>
          <w:rFonts w:ascii="Arial" w:hAnsi="Arial" w:cs="Arial"/>
          <w:color w:val="000000" w:themeColor="text1"/>
          <w:sz w:val="22"/>
          <w:szCs w:val="22"/>
        </w:rPr>
        <w:t xml:space="preserve">they would have no protection if they traded cryptocurrencies, reported the </w:t>
      </w:r>
      <w:r w:rsidRPr="00FD1F1E">
        <w:rPr>
          <w:rFonts w:ascii="Arial" w:hAnsi="Arial" w:cs="Arial"/>
          <w:color w:val="000000" w:themeColor="text1"/>
          <w:sz w:val="22"/>
          <w:szCs w:val="22"/>
        </w:rPr>
        <w:t>BBC</w:t>
      </w:r>
      <w:r>
        <w:rPr>
          <w:rFonts w:ascii="Arial" w:hAnsi="Arial" w:cs="Arial"/>
          <w:color w:val="000000" w:themeColor="text1"/>
          <w:sz w:val="22"/>
          <w:szCs w:val="22"/>
        </w:rPr>
        <w:t>.</w:t>
      </w:r>
    </w:p>
    <w:p w14:paraId="6453DCD1" w14:textId="77777777" w:rsidR="00E51964" w:rsidRDefault="00E51964" w:rsidP="00E51964">
      <w:pPr>
        <w:rPr>
          <w:rFonts w:ascii="Arial" w:hAnsi="Arial" w:cs="Arial"/>
          <w:color w:val="000000" w:themeColor="text1"/>
          <w:sz w:val="22"/>
          <w:szCs w:val="22"/>
        </w:rPr>
      </w:pPr>
    </w:p>
    <w:p w14:paraId="004B2D33" w14:textId="78721A01" w:rsidR="00E51964" w:rsidRDefault="00E51964" w:rsidP="00E51964">
      <w:pPr>
        <w:rPr>
          <w:rFonts w:ascii="Arial" w:hAnsi="Arial" w:cs="Arial"/>
          <w:color w:val="000000" w:themeColor="text1"/>
          <w:sz w:val="22"/>
          <w:szCs w:val="22"/>
        </w:rPr>
      </w:pPr>
      <w:r>
        <w:rPr>
          <w:rFonts w:ascii="Arial" w:hAnsi="Arial" w:cs="Arial"/>
          <w:color w:val="000000" w:themeColor="text1"/>
          <w:sz w:val="22"/>
          <w:szCs w:val="22"/>
        </w:rPr>
        <w:t xml:space="preserve">Last week, China banned all cryptocurrency transactions and announced that ten regulatory agencies will work together to enforce the ban, reported </w:t>
      </w:r>
      <w:r w:rsidRPr="00A40B7F">
        <w:rPr>
          <w:rFonts w:ascii="Arial" w:hAnsi="Arial" w:cs="Arial"/>
          <w:color w:val="000000" w:themeColor="text1"/>
          <w:sz w:val="22"/>
          <w:szCs w:val="22"/>
        </w:rPr>
        <w:t>Alun John</w:t>
      </w:r>
      <w:r>
        <w:rPr>
          <w:rFonts w:ascii="Arial" w:hAnsi="Arial" w:cs="Arial"/>
          <w:color w:val="000000" w:themeColor="text1"/>
          <w:sz w:val="22"/>
          <w:szCs w:val="22"/>
        </w:rPr>
        <w:t xml:space="preserve">, </w:t>
      </w:r>
      <w:r w:rsidRPr="00A40B7F">
        <w:rPr>
          <w:rFonts w:ascii="Arial" w:hAnsi="Arial" w:cs="Arial"/>
          <w:color w:val="000000" w:themeColor="text1"/>
          <w:sz w:val="22"/>
          <w:szCs w:val="22"/>
        </w:rPr>
        <w:t xml:space="preserve">Samuel Shen, </w:t>
      </w:r>
      <w:r>
        <w:rPr>
          <w:rFonts w:ascii="Arial" w:hAnsi="Arial" w:cs="Arial"/>
          <w:color w:val="000000" w:themeColor="text1"/>
          <w:sz w:val="22"/>
          <w:szCs w:val="22"/>
        </w:rPr>
        <w:t xml:space="preserve">and </w:t>
      </w:r>
      <w:r w:rsidRPr="00A40B7F">
        <w:rPr>
          <w:rFonts w:ascii="Arial" w:hAnsi="Arial" w:cs="Arial"/>
          <w:color w:val="000000" w:themeColor="text1"/>
          <w:sz w:val="22"/>
          <w:szCs w:val="22"/>
        </w:rPr>
        <w:t>Tom Wilson</w:t>
      </w:r>
      <w:r>
        <w:rPr>
          <w:rFonts w:ascii="Arial" w:hAnsi="Arial" w:cs="Arial"/>
          <w:color w:val="000000" w:themeColor="text1"/>
          <w:sz w:val="22"/>
          <w:szCs w:val="22"/>
        </w:rPr>
        <w:t xml:space="preserve"> of </w:t>
      </w:r>
      <w:r w:rsidRPr="00A40B7F">
        <w:rPr>
          <w:rFonts w:ascii="Arial" w:hAnsi="Arial" w:cs="Arial"/>
          <w:i/>
          <w:iCs/>
          <w:color w:val="000000" w:themeColor="text1"/>
          <w:sz w:val="22"/>
          <w:szCs w:val="22"/>
        </w:rPr>
        <w:t>Reuters</w:t>
      </w:r>
      <w:r>
        <w:rPr>
          <w:rFonts w:ascii="Arial" w:hAnsi="Arial" w:cs="Arial"/>
          <w:color w:val="000000" w:themeColor="text1"/>
          <w:sz w:val="22"/>
          <w:szCs w:val="22"/>
        </w:rPr>
        <w:t>.</w:t>
      </w:r>
    </w:p>
    <w:p w14:paraId="5F11A6E3" w14:textId="77777777" w:rsidR="00E51964" w:rsidRDefault="00E51964" w:rsidP="00E51964">
      <w:pPr>
        <w:rPr>
          <w:rFonts w:ascii="Arial" w:hAnsi="Arial" w:cs="Arial"/>
          <w:color w:val="000000" w:themeColor="text1"/>
          <w:sz w:val="22"/>
          <w:szCs w:val="22"/>
        </w:rPr>
      </w:pPr>
    </w:p>
    <w:p w14:paraId="433C367F" w14:textId="170827D8" w:rsidR="00E51964" w:rsidRDefault="00E51964" w:rsidP="00E51964">
      <w:pPr>
        <w:rPr>
          <w:rFonts w:ascii="Arial" w:hAnsi="Arial" w:cs="Arial"/>
          <w:color w:val="000000" w:themeColor="text1"/>
          <w:sz w:val="22"/>
          <w:szCs w:val="22"/>
        </w:rPr>
      </w:pPr>
      <w:r>
        <w:rPr>
          <w:rFonts w:ascii="Arial" w:hAnsi="Arial" w:cs="Arial"/>
          <w:color w:val="000000" w:themeColor="text1"/>
          <w:sz w:val="22"/>
          <w:szCs w:val="22"/>
        </w:rPr>
        <w:t>Cryptocurrency is “</w:t>
      </w:r>
      <w:r w:rsidRPr="00837545">
        <w:rPr>
          <w:rFonts w:ascii="Arial" w:hAnsi="Arial" w:cs="Arial"/>
          <w:color w:val="000000" w:themeColor="text1"/>
          <w:sz w:val="22"/>
          <w:szCs w:val="22"/>
        </w:rPr>
        <w:t>any form of currency that only exists digitally, that usually has no central issuing or regulating authority but instead uses a decentralized system to record transactions and manage the issuance of new units, and that relies on cryptography to prevent counterfeiting and fraudulent transactions</w:t>
      </w:r>
      <w:r>
        <w:rPr>
          <w:rFonts w:ascii="Arial" w:hAnsi="Arial" w:cs="Arial"/>
          <w:color w:val="000000" w:themeColor="text1"/>
          <w:sz w:val="22"/>
          <w:szCs w:val="22"/>
        </w:rPr>
        <w:t>,”</w:t>
      </w:r>
      <w:r w:rsidRPr="00531C4C">
        <w:rPr>
          <w:rFonts w:ascii="Arial" w:hAnsi="Arial" w:cs="Arial"/>
          <w:i/>
          <w:iCs/>
          <w:color w:val="000000" w:themeColor="text1"/>
          <w:sz w:val="22"/>
          <w:szCs w:val="22"/>
        </w:rPr>
        <w:t xml:space="preserve"> </w:t>
      </w:r>
      <w:r>
        <w:rPr>
          <w:rFonts w:ascii="Arial" w:hAnsi="Arial" w:cs="Arial"/>
          <w:color w:val="000000" w:themeColor="text1"/>
          <w:sz w:val="22"/>
          <w:szCs w:val="22"/>
        </w:rPr>
        <w:t xml:space="preserve">according to </w:t>
      </w:r>
      <w:r w:rsidRPr="00FD1F1E">
        <w:rPr>
          <w:rFonts w:ascii="Arial" w:hAnsi="Arial" w:cs="Arial"/>
          <w:color w:val="000000" w:themeColor="text1"/>
          <w:sz w:val="22"/>
          <w:szCs w:val="22"/>
        </w:rPr>
        <w:t>Merriam Webster</w:t>
      </w:r>
      <w:r>
        <w:rPr>
          <w:rFonts w:ascii="Arial" w:hAnsi="Arial" w:cs="Arial"/>
          <w:i/>
          <w:iCs/>
          <w:color w:val="000000" w:themeColor="text1"/>
          <w:sz w:val="22"/>
          <w:szCs w:val="22"/>
        </w:rPr>
        <w:t>.</w:t>
      </w:r>
      <w:r>
        <w:rPr>
          <w:rFonts w:ascii="Arial" w:hAnsi="Arial" w:cs="Arial"/>
          <w:color w:val="000000" w:themeColor="text1"/>
          <w:sz w:val="22"/>
          <w:szCs w:val="22"/>
        </w:rPr>
        <w:t xml:space="preserve"> </w:t>
      </w:r>
    </w:p>
    <w:p w14:paraId="78037ACD" w14:textId="77777777" w:rsidR="00E51964" w:rsidRDefault="00E51964" w:rsidP="00E51964">
      <w:pPr>
        <w:rPr>
          <w:rFonts w:ascii="Arial" w:hAnsi="Arial" w:cs="Arial"/>
          <w:color w:val="000000" w:themeColor="text1"/>
          <w:sz w:val="22"/>
          <w:szCs w:val="22"/>
        </w:rPr>
      </w:pPr>
    </w:p>
    <w:p w14:paraId="388B146B" w14:textId="2EED38AD" w:rsidR="00E51964" w:rsidRDefault="00E51964" w:rsidP="00E51964">
      <w:pPr>
        <w:rPr>
          <w:rFonts w:ascii="Arial" w:hAnsi="Arial" w:cs="Arial"/>
          <w:color w:val="000000" w:themeColor="text1"/>
          <w:sz w:val="22"/>
          <w:szCs w:val="22"/>
          <w:vertAlign w:val="superscript"/>
        </w:rPr>
      </w:pPr>
      <w:r>
        <w:rPr>
          <w:rFonts w:ascii="Arial" w:hAnsi="Arial" w:cs="Arial"/>
          <w:color w:val="000000" w:themeColor="text1"/>
          <w:sz w:val="22"/>
          <w:szCs w:val="22"/>
        </w:rPr>
        <w:t xml:space="preserve">China also banned cryptocurrency mining. Unlike many types of money, cryptocurrency is not issued by a nation’s central bank. It is mined using an energy-intensive process that “relies </w:t>
      </w:r>
      <w:r w:rsidRPr="00506BFE">
        <w:rPr>
          <w:rFonts w:ascii="Arial" w:hAnsi="Arial" w:cs="Arial"/>
          <w:color w:val="000000" w:themeColor="text1"/>
          <w:sz w:val="22"/>
          <w:szCs w:val="22"/>
        </w:rPr>
        <w:t>on many distributed computers verifying and checking transactions on a giant shared ledger known as the blockchain</w:t>
      </w:r>
      <w:r>
        <w:rPr>
          <w:rFonts w:ascii="Arial" w:hAnsi="Arial" w:cs="Arial"/>
          <w:color w:val="000000" w:themeColor="text1"/>
          <w:sz w:val="22"/>
          <w:szCs w:val="22"/>
        </w:rPr>
        <w:t xml:space="preserve">,” reported the </w:t>
      </w:r>
      <w:r w:rsidRPr="00FD1F1E">
        <w:rPr>
          <w:rFonts w:ascii="Arial" w:hAnsi="Arial" w:cs="Arial"/>
          <w:color w:val="000000" w:themeColor="text1"/>
          <w:sz w:val="22"/>
          <w:szCs w:val="22"/>
        </w:rPr>
        <w:t>BBC</w:t>
      </w:r>
      <w:r>
        <w:rPr>
          <w:rFonts w:ascii="Arial" w:hAnsi="Arial" w:cs="Arial"/>
          <w:color w:val="000000" w:themeColor="text1"/>
          <w:sz w:val="22"/>
          <w:szCs w:val="22"/>
        </w:rPr>
        <w:t xml:space="preserve">. Prior to the ban, </w:t>
      </w:r>
      <w:r w:rsidRPr="00262B8F">
        <w:rPr>
          <w:rFonts w:ascii="Arial" w:hAnsi="Arial" w:cs="Arial"/>
          <w:color w:val="000000" w:themeColor="text1"/>
          <w:sz w:val="22"/>
          <w:szCs w:val="22"/>
        </w:rPr>
        <w:t>China</w:t>
      </w:r>
      <w:r>
        <w:rPr>
          <w:rFonts w:ascii="Arial" w:hAnsi="Arial" w:cs="Arial"/>
          <w:color w:val="000000" w:themeColor="text1"/>
          <w:sz w:val="22"/>
          <w:szCs w:val="22"/>
        </w:rPr>
        <w:t xml:space="preserve"> was one of the world’s largest mining centers because of its </w:t>
      </w:r>
      <w:r w:rsidRPr="00262B8F">
        <w:rPr>
          <w:rFonts w:ascii="Arial" w:hAnsi="Arial" w:cs="Arial"/>
          <w:color w:val="000000" w:themeColor="text1"/>
          <w:sz w:val="22"/>
          <w:szCs w:val="22"/>
        </w:rPr>
        <w:t xml:space="preserve">relatively low </w:t>
      </w:r>
      <w:r>
        <w:rPr>
          <w:rFonts w:ascii="Arial" w:hAnsi="Arial" w:cs="Arial"/>
          <w:color w:val="000000" w:themeColor="text1"/>
          <w:sz w:val="22"/>
          <w:szCs w:val="22"/>
        </w:rPr>
        <w:t>energy</w:t>
      </w:r>
      <w:r w:rsidRPr="00262B8F">
        <w:rPr>
          <w:rFonts w:ascii="Arial" w:hAnsi="Arial" w:cs="Arial"/>
          <w:color w:val="000000" w:themeColor="text1"/>
          <w:sz w:val="22"/>
          <w:szCs w:val="22"/>
        </w:rPr>
        <w:t xml:space="preserve"> costs and </w:t>
      </w:r>
      <w:r>
        <w:rPr>
          <w:rFonts w:ascii="Arial" w:hAnsi="Arial" w:cs="Arial"/>
          <w:color w:val="000000" w:themeColor="text1"/>
          <w:sz w:val="22"/>
          <w:szCs w:val="22"/>
        </w:rPr>
        <w:t>inexpensive</w:t>
      </w:r>
      <w:r w:rsidRPr="00262B8F">
        <w:rPr>
          <w:rFonts w:ascii="Arial" w:hAnsi="Arial" w:cs="Arial"/>
          <w:color w:val="000000" w:themeColor="text1"/>
          <w:sz w:val="22"/>
          <w:szCs w:val="22"/>
        </w:rPr>
        <w:t xml:space="preserve"> computer hardware.</w:t>
      </w:r>
    </w:p>
    <w:p w14:paraId="4A9B0FC8" w14:textId="77777777" w:rsidR="00E51964" w:rsidRDefault="00E51964" w:rsidP="00E51964">
      <w:pPr>
        <w:rPr>
          <w:rFonts w:ascii="Arial" w:hAnsi="Arial" w:cs="Arial"/>
          <w:color w:val="000000" w:themeColor="text1"/>
          <w:sz w:val="22"/>
          <w:szCs w:val="22"/>
        </w:rPr>
      </w:pPr>
    </w:p>
    <w:p w14:paraId="39B94D5D" w14:textId="78F87D1C" w:rsidR="00E51964" w:rsidRDefault="00E51964" w:rsidP="00E51964">
      <w:pPr>
        <w:rPr>
          <w:rFonts w:ascii="Arial" w:hAnsi="Arial" w:cs="Arial"/>
          <w:color w:val="000000" w:themeColor="text1"/>
          <w:sz w:val="22"/>
          <w:szCs w:val="22"/>
        </w:rPr>
      </w:pPr>
      <w:r>
        <w:rPr>
          <w:rFonts w:ascii="Arial" w:hAnsi="Arial" w:cs="Arial"/>
          <w:color w:val="000000" w:themeColor="text1"/>
          <w:sz w:val="22"/>
          <w:szCs w:val="22"/>
        </w:rPr>
        <w:t>The ban doesn’t mean China won’t have digital currency. China’s central bank is developing an official digital currency that is being tested now and is expected to be introduced more widely next year. “</w:t>
      </w:r>
      <w:r w:rsidRPr="005007EE">
        <w:rPr>
          <w:rFonts w:ascii="Arial" w:hAnsi="Arial" w:cs="Arial"/>
          <w:color w:val="000000" w:themeColor="text1"/>
          <w:sz w:val="22"/>
          <w:szCs w:val="22"/>
        </w:rPr>
        <w:t>The ban on crypto appears designed to build support for the official digital currency while signaling to Chinese residents that financial transactions must be traceable and won’t be tolerated on decentralized blockchains</w:t>
      </w:r>
      <w:r>
        <w:rPr>
          <w:rFonts w:ascii="Arial" w:hAnsi="Arial" w:cs="Arial"/>
          <w:color w:val="000000" w:themeColor="text1"/>
          <w:sz w:val="22"/>
          <w:szCs w:val="22"/>
        </w:rPr>
        <w:t>,” reported</w:t>
      </w:r>
      <w:r w:rsidRPr="00746BA6">
        <w:rPr>
          <w:rFonts w:ascii="Arial" w:hAnsi="Arial" w:cs="Arial"/>
          <w:color w:val="000000" w:themeColor="text1"/>
          <w:sz w:val="22"/>
          <w:szCs w:val="22"/>
        </w:rPr>
        <w:t xml:space="preserve"> </w:t>
      </w:r>
      <w:r w:rsidRPr="005007EE">
        <w:rPr>
          <w:rFonts w:ascii="Arial" w:hAnsi="Arial" w:cs="Arial"/>
          <w:color w:val="000000" w:themeColor="text1"/>
          <w:sz w:val="22"/>
          <w:szCs w:val="22"/>
        </w:rPr>
        <w:t xml:space="preserve">Daren Fonda and Joe </w:t>
      </w:r>
      <w:proofErr w:type="spellStart"/>
      <w:r w:rsidRPr="005007EE">
        <w:rPr>
          <w:rFonts w:ascii="Arial" w:hAnsi="Arial" w:cs="Arial"/>
          <w:color w:val="000000" w:themeColor="text1"/>
          <w:sz w:val="22"/>
          <w:szCs w:val="22"/>
        </w:rPr>
        <w:t>Woelfel</w:t>
      </w:r>
      <w:proofErr w:type="spellEnd"/>
      <w:r>
        <w:rPr>
          <w:rFonts w:ascii="Arial" w:hAnsi="Arial" w:cs="Arial"/>
          <w:color w:val="000000" w:themeColor="text1"/>
          <w:sz w:val="22"/>
          <w:szCs w:val="22"/>
        </w:rPr>
        <w:t xml:space="preserve"> of </w:t>
      </w:r>
      <w:r w:rsidRPr="005007EE">
        <w:rPr>
          <w:rFonts w:ascii="Arial" w:hAnsi="Arial" w:cs="Arial"/>
          <w:i/>
          <w:iCs/>
          <w:color w:val="000000" w:themeColor="text1"/>
          <w:sz w:val="22"/>
          <w:szCs w:val="22"/>
        </w:rPr>
        <w:t>Barron’s</w:t>
      </w:r>
      <w:r w:rsidRPr="005007EE">
        <w:rPr>
          <w:rFonts w:ascii="Arial" w:hAnsi="Arial" w:cs="Arial"/>
          <w:color w:val="000000" w:themeColor="text1"/>
          <w:sz w:val="22"/>
          <w:szCs w:val="22"/>
        </w:rPr>
        <w:t>.</w:t>
      </w:r>
      <w:r>
        <w:rPr>
          <w:rFonts w:ascii="Arial" w:hAnsi="Arial" w:cs="Arial"/>
          <w:color w:val="000000" w:themeColor="text1"/>
          <w:sz w:val="22"/>
          <w:szCs w:val="22"/>
        </w:rPr>
        <w:t>”</w:t>
      </w:r>
    </w:p>
    <w:p w14:paraId="14D9BD3B" w14:textId="77777777" w:rsidR="00E51964" w:rsidRDefault="00E51964" w:rsidP="00E51964">
      <w:pPr>
        <w:rPr>
          <w:rFonts w:ascii="Arial" w:hAnsi="Arial" w:cs="Arial"/>
          <w:color w:val="000000" w:themeColor="text1"/>
          <w:sz w:val="22"/>
          <w:szCs w:val="22"/>
        </w:rPr>
      </w:pPr>
    </w:p>
    <w:p w14:paraId="003D4F1D" w14:textId="30F87A50" w:rsidR="00E51964" w:rsidRDefault="00E51964" w:rsidP="00E51964">
      <w:pPr>
        <w:rPr>
          <w:rFonts w:ascii="Arial" w:hAnsi="Arial" w:cs="Arial"/>
          <w:color w:val="000000" w:themeColor="text1"/>
          <w:sz w:val="22"/>
          <w:szCs w:val="22"/>
        </w:rPr>
      </w:pPr>
      <w:r>
        <w:rPr>
          <w:rFonts w:ascii="Arial" w:hAnsi="Arial" w:cs="Arial"/>
          <w:color w:val="000000" w:themeColor="text1"/>
          <w:sz w:val="22"/>
          <w:szCs w:val="22"/>
        </w:rPr>
        <w:t xml:space="preserve">The United States also is considering how to regulate cryptocurrencies. </w:t>
      </w:r>
    </w:p>
    <w:p w14:paraId="4B10B45F" w14:textId="77777777" w:rsidR="00E51964" w:rsidRPr="00BD3928" w:rsidRDefault="00E51964" w:rsidP="00E51964">
      <w:pPr>
        <w:rPr>
          <w:rFonts w:ascii="Arial" w:hAnsi="Arial" w:cs="Arial"/>
          <w:color w:val="000000" w:themeColor="text1"/>
          <w:sz w:val="22"/>
          <w:szCs w:val="22"/>
        </w:rPr>
      </w:pPr>
    </w:p>
    <w:p w14:paraId="5AE47A20" w14:textId="77777777" w:rsidR="00E51964" w:rsidRPr="00DF4D98" w:rsidRDefault="00E51964" w:rsidP="00E51964">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0A2E0F25" w14:textId="0AE71CD7" w:rsidR="00E51964" w:rsidRPr="00EF2215" w:rsidRDefault="00E51964" w:rsidP="00E51964">
      <w:pPr>
        <w:rPr>
          <w:rFonts w:ascii="Arial" w:hAnsi="Arial" w:cs="Arial"/>
          <w:color w:val="000000" w:themeColor="text1"/>
          <w:sz w:val="22"/>
          <w:szCs w:val="22"/>
        </w:rPr>
      </w:pPr>
      <w:r w:rsidRPr="00EF2215">
        <w:rPr>
          <w:rFonts w:ascii="Arial" w:hAnsi="Arial" w:cs="Arial"/>
          <w:color w:val="000000" w:themeColor="text1"/>
          <w:sz w:val="22"/>
          <w:szCs w:val="22"/>
        </w:rPr>
        <w:t>“</w:t>
      </w:r>
      <w:r w:rsidRPr="00AE4BF6">
        <w:rPr>
          <w:rFonts w:ascii="Arial" w:hAnsi="Arial" w:cs="Arial"/>
          <w:color w:val="000000" w:themeColor="text1"/>
          <w:sz w:val="22"/>
          <w:szCs w:val="22"/>
        </w:rPr>
        <w:t>If a business does well, the stock eventually follows.”</w:t>
      </w:r>
    </w:p>
    <w:p w14:paraId="2407B90A" w14:textId="77777777" w:rsidR="00E51964" w:rsidRPr="00AE4BF6" w:rsidRDefault="00E51964" w:rsidP="00E51964">
      <w:pPr>
        <w:jc w:val="right"/>
        <w:rPr>
          <w:rFonts w:ascii="Arial" w:hAnsi="Arial" w:cs="Arial"/>
          <w:i/>
          <w:iCs/>
          <w:color w:val="000000" w:themeColor="text1"/>
          <w:sz w:val="22"/>
          <w:szCs w:val="22"/>
        </w:rPr>
      </w:pPr>
      <w:r>
        <w:rPr>
          <w:rFonts w:ascii="Arial" w:hAnsi="Arial" w:cs="Arial"/>
          <w:i/>
          <w:iCs/>
          <w:color w:val="000000" w:themeColor="text1"/>
          <w:sz w:val="22"/>
          <w:szCs w:val="22"/>
        </w:rPr>
        <w:t>—</w:t>
      </w:r>
      <w:r w:rsidRPr="00AE4BF6">
        <w:rPr>
          <w:rFonts w:ascii="Arial" w:hAnsi="Arial" w:cs="Arial"/>
          <w:i/>
          <w:iCs/>
          <w:color w:val="000000" w:themeColor="text1"/>
          <w:sz w:val="22"/>
          <w:szCs w:val="22"/>
        </w:rPr>
        <w:t xml:space="preserve">Warren Buffet, </w:t>
      </w:r>
      <w:r>
        <w:rPr>
          <w:rFonts w:ascii="Arial" w:hAnsi="Arial" w:cs="Arial"/>
          <w:i/>
          <w:iCs/>
          <w:color w:val="000000" w:themeColor="text1"/>
          <w:sz w:val="22"/>
          <w:szCs w:val="22"/>
        </w:rPr>
        <w:t>i</w:t>
      </w:r>
      <w:r w:rsidRPr="00AE4BF6">
        <w:rPr>
          <w:rFonts w:ascii="Arial" w:hAnsi="Arial" w:cs="Arial"/>
          <w:i/>
          <w:iCs/>
          <w:color w:val="000000" w:themeColor="text1"/>
          <w:sz w:val="22"/>
          <w:szCs w:val="22"/>
        </w:rPr>
        <w:t xml:space="preserve">nvestor </w:t>
      </w:r>
    </w:p>
    <w:p w14:paraId="77BB502E" w14:textId="0C28CBDA" w:rsidR="0056229A" w:rsidRDefault="0056229A" w:rsidP="0056229A">
      <w:pPr>
        <w:ind w:right="-36"/>
        <w:rPr>
          <w:rFonts w:ascii="Arial" w:hAnsi="Arial" w:cs="Arial"/>
          <w:color w:val="000000"/>
          <w:sz w:val="22"/>
          <w:szCs w:val="22"/>
        </w:rPr>
      </w:pPr>
    </w:p>
    <w:p w14:paraId="14211774" w14:textId="2C760E9B" w:rsidR="00617D6F" w:rsidRDefault="00617D6F" w:rsidP="0056229A">
      <w:pPr>
        <w:ind w:right="-36"/>
        <w:rPr>
          <w:rFonts w:ascii="Arial" w:hAnsi="Arial" w:cs="Arial"/>
          <w:color w:val="000000"/>
          <w:sz w:val="22"/>
          <w:szCs w:val="22"/>
        </w:rPr>
      </w:pPr>
    </w:p>
    <w:p w14:paraId="481B20B5" w14:textId="53C295C5" w:rsidR="002841C2" w:rsidRDefault="002841C2" w:rsidP="0056229A">
      <w:pPr>
        <w:ind w:right="-36"/>
        <w:rPr>
          <w:rFonts w:ascii="Arial" w:hAnsi="Arial" w:cs="Arial"/>
          <w:color w:val="000000"/>
          <w:sz w:val="22"/>
          <w:szCs w:val="22"/>
        </w:rPr>
      </w:pPr>
    </w:p>
    <w:p w14:paraId="6AF8947C" w14:textId="77777777" w:rsidR="002841C2" w:rsidRPr="00D2669E" w:rsidRDefault="002841C2" w:rsidP="0056229A">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367E48E6" w14:textId="77777777" w:rsidR="002841C2" w:rsidRDefault="002841C2" w:rsidP="002841C2">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25BF623E" w14:textId="77777777" w:rsidR="002841C2" w:rsidRDefault="002841C2" w:rsidP="002841C2">
      <w:pPr>
        <w:pStyle w:val="NormalWeb"/>
        <w:spacing w:before="0" w:beforeAutospacing="0" w:after="0" w:afterAutospacing="0"/>
        <w:rPr>
          <w:rFonts w:ascii="Arial" w:hAnsi="Arial" w:cs="Arial"/>
          <w:sz w:val="22"/>
          <w:szCs w:val="22"/>
        </w:rPr>
      </w:pPr>
    </w:p>
    <w:p w14:paraId="3A28B153" w14:textId="77777777" w:rsidR="002841C2" w:rsidRDefault="002841C2" w:rsidP="002841C2">
      <w:pPr>
        <w:rPr>
          <w:rFonts w:ascii="Arial" w:hAnsi="Arial" w:cs="Arial"/>
          <w:sz w:val="22"/>
          <w:szCs w:val="22"/>
        </w:rPr>
      </w:pPr>
      <w:r>
        <w:rPr>
          <w:rFonts w:ascii="Arial" w:hAnsi="Arial" w:cs="Arial"/>
          <w:sz w:val="22"/>
          <w:szCs w:val="22"/>
        </w:rPr>
        <w:t>Securities offered through Commonwealth Financial, Member FINRA/SIPC.</w:t>
      </w:r>
    </w:p>
    <w:p w14:paraId="6F8DC2C6" w14:textId="77777777" w:rsidR="002841C2" w:rsidRDefault="002841C2" w:rsidP="0056229A">
      <w:pPr>
        <w:rPr>
          <w:rFonts w:ascii="Arial" w:hAnsi="Arial" w:cs="Arial"/>
          <w:color w:val="000000"/>
          <w:sz w:val="18"/>
          <w:szCs w:val="18"/>
        </w:rPr>
      </w:pPr>
    </w:p>
    <w:p w14:paraId="310045D4" w14:textId="2B5B7B16"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0AA454E9" w14:textId="77777777" w:rsidR="0056229A" w:rsidRPr="00B56857" w:rsidRDefault="0056229A" w:rsidP="0056229A">
      <w:pPr>
        <w:widowControl w:val="0"/>
        <w:adjustRightInd w:val="0"/>
        <w:ind w:right="-36"/>
        <w:rPr>
          <w:rFonts w:ascii="Arial" w:hAnsi="Arial" w:cs="Arial"/>
          <w:sz w:val="22"/>
          <w:szCs w:val="22"/>
        </w:rPr>
      </w:pPr>
    </w:p>
    <w:p w14:paraId="28D7D8CD" w14:textId="77777777" w:rsidR="00E51964" w:rsidRPr="00BD3B42" w:rsidRDefault="00E51964" w:rsidP="00E51964">
      <w:pPr>
        <w:widowControl w:val="0"/>
        <w:adjustRightInd w:val="0"/>
        <w:ind w:right="-36"/>
        <w:rPr>
          <w:rFonts w:ascii="Arial" w:hAnsi="Arial" w:cs="Arial"/>
          <w:sz w:val="18"/>
          <w:szCs w:val="18"/>
        </w:rPr>
      </w:pPr>
      <w:r w:rsidRPr="00BD3B42">
        <w:rPr>
          <w:rFonts w:ascii="Arial" w:hAnsi="Arial" w:cs="Arial"/>
          <w:sz w:val="18"/>
          <w:szCs w:val="18"/>
        </w:rPr>
        <w:t>Sources:</w:t>
      </w:r>
    </w:p>
    <w:p w14:paraId="7BA4FC5F" w14:textId="0FE8B8DC" w:rsidR="00E51964" w:rsidRPr="00FD1F1E" w:rsidRDefault="002841C2" w:rsidP="00E51964">
      <w:pPr>
        <w:pStyle w:val="EndnoteText"/>
        <w:rPr>
          <w:rFonts w:ascii="Arial" w:hAnsi="Arial" w:cs="Arial"/>
          <w:sz w:val="18"/>
          <w:szCs w:val="18"/>
        </w:rPr>
      </w:pPr>
      <w:hyperlink r:id="rId5" w:history="1">
        <w:r w:rsidR="00E51964" w:rsidRPr="00FD1F1E">
          <w:rPr>
            <w:rStyle w:val="Hyperlink"/>
            <w:rFonts w:ascii="Arial" w:hAnsi="Arial" w:cs="Arial"/>
            <w:sz w:val="18"/>
            <w:szCs w:val="18"/>
          </w:rPr>
          <w:t>https://www.cnbc.com/2021/09/23/heres-what-will-happen-when-the-feds-tapering-starts-and-why-you-should-care.html</w:t>
        </w:r>
      </w:hyperlink>
    </w:p>
    <w:p w14:paraId="0372C8CB" w14:textId="745F87C6" w:rsidR="00E51964" w:rsidRDefault="002841C2" w:rsidP="00E51964">
      <w:pPr>
        <w:pStyle w:val="EndnoteText"/>
        <w:rPr>
          <w:rFonts w:ascii="Arial" w:hAnsi="Arial" w:cs="Arial"/>
          <w:sz w:val="18"/>
          <w:szCs w:val="18"/>
        </w:rPr>
      </w:pPr>
      <w:hyperlink r:id="rId6" w:history="1">
        <w:r w:rsidR="00E51964" w:rsidRPr="008B74E0">
          <w:rPr>
            <w:rStyle w:val="Hyperlink"/>
            <w:rFonts w:ascii="Arial" w:hAnsi="Arial" w:cs="Arial"/>
            <w:sz w:val="18"/>
            <w:szCs w:val="18"/>
          </w:rPr>
          <w:t>https://www.reuters.com/world/uk/bank-england-keeps-interest-rate-unchanged-01-2021-09-23/</w:t>
        </w:r>
      </w:hyperlink>
    </w:p>
    <w:p w14:paraId="658DC605" w14:textId="2DD8E1EA" w:rsidR="00E51964" w:rsidRPr="00FD1F1E" w:rsidRDefault="002841C2" w:rsidP="00E51964">
      <w:pPr>
        <w:pStyle w:val="EndnoteText"/>
        <w:rPr>
          <w:rFonts w:ascii="Arial" w:hAnsi="Arial" w:cs="Arial"/>
          <w:sz w:val="18"/>
          <w:szCs w:val="18"/>
        </w:rPr>
      </w:pPr>
      <w:hyperlink r:id="rId7" w:history="1">
        <w:r w:rsidR="00E51964" w:rsidRPr="00FD1F1E">
          <w:rPr>
            <w:rStyle w:val="Hyperlink"/>
            <w:rFonts w:ascii="Arial" w:hAnsi="Arial" w:cs="Arial"/>
            <w:sz w:val="18"/>
            <w:szCs w:val="18"/>
          </w:rPr>
          <w:t>https://www.barrons.com/articles/stock-market-today-51632471196?mod=hp_LEAD_3</w:t>
        </w:r>
      </w:hyperlink>
      <w:r w:rsidR="00E51964">
        <w:rPr>
          <w:rStyle w:val="Hyperlink"/>
          <w:rFonts w:ascii="Arial" w:hAnsi="Arial" w:cs="Arial"/>
          <w:color w:val="auto"/>
          <w:sz w:val="18"/>
          <w:szCs w:val="18"/>
          <w:u w:val="none"/>
        </w:rPr>
        <w:t xml:space="preserve"> (</w:t>
      </w:r>
      <w:r w:rsidR="00E51964" w:rsidRPr="00FD1F1E">
        <w:rPr>
          <w:rStyle w:val="Hyperlink"/>
          <w:rFonts w:ascii="Arial" w:hAnsi="Arial" w:cs="Arial"/>
          <w:i/>
          <w:iCs/>
          <w:color w:val="auto"/>
          <w:sz w:val="18"/>
          <w:szCs w:val="18"/>
          <w:u w:val="none"/>
        </w:rPr>
        <w:t>or go to</w:t>
      </w:r>
      <w:r w:rsidR="00E51964">
        <w:rPr>
          <w:rStyle w:val="Hyperlink"/>
          <w:rFonts w:ascii="Arial" w:hAnsi="Arial" w:cs="Arial"/>
          <w:color w:val="auto"/>
          <w:sz w:val="18"/>
          <w:szCs w:val="18"/>
          <w:u w:val="none"/>
        </w:rPr>
        <w:t xml:space="preserve"> </w:t>
      </w:r>
      <w:hyperlink r:id="rId8" w:history="1">
        <w:r w:rsidR="00E51964" w:rsidRPr="008B74E0">
          <w:rPr>
            <w:rStyle w:val="Hyperlink"/>
            <w:rFonts w:ascii="Arial" w:hAnsi="Arial" w:cs="Arial"/>
            <w:sz w:val="18"/>
            <w:szCs w:val="18"/>
          </w:rPr>
          <w:t>https://resources.carsongroup.com/hubfs/WMC-Source/2021/092721_Barrons_The%20Dow%20Held%20Steady%2c%20Bitcoin%20Fell_3.pdf</w:t>
        </w:r>
      </w:hyperlink>
      <w:r w:rsidR="00E51964">
        <w:rPr>
          <w:rStyle w:val="Hyperlink"/>
          <w:rFonts w:ascii="Arial" w:hAnsi="Arial" w:cs="Arial"/>
          <w:color w:val="auto"/>
          <w:sz w:val="18"/>
          <w:szCs w:val="18"/>
          <w:u w:val="none"/>
        </w:rPr>
        <w:t xml:space="preserve">) </w:t>
      </w:r>
    </w:p>
    <w:p w14:paraId="0AF2A974" w14:textId="6D81F675" w:rsidR="00E51964" w:rsidRDefault="002841C2" w:rsidP="00E51964">
      <w:pPr>
        <w:pStyle w:val="EndnoteText"/>
        <w:rPr>
          <w:rFonts w:ascii="Arial" w:hAnsi="Arial" w:cs="Arial"/>
          <w:sz w:val="18"/>
          <w:szCs w:val="18"/>
        </w:rPr>
      </w:pPr>
      <w:hyperlink r:id="rId9" w:history="1">
        <w:r w:rsidR="00E51964" w:rsidRPr="008B74E0">
          <w:rPr>
            <w:rStyle w:val="Hyperlink"/>
            <w:rFonts w:ascii="Arial" w:hAnsi="Arial" w:cs="Arial"/>
            <w:sz w:val="18"/>
            <w:szCs w:val="18"/>
          </w:rPr>
          <w:t>https://www.schroders.com/en/media-relations/newsroom/insights/what-do-rising-bond-yields-mean-for-the-us-stock-market/</w:t>
        </w:r>
      </w:hyperlink>
    </w:p>
    <w:p w14:paraId="1A5B6F61" w14:textId="66E8012D" w:rsidR="00E51964" w:rsidRPr="00FD1F1E" w:rsidRDefault="002841C2" w:rsidP="00E51964">
      <w:pPr>
        <w:pStyle w:val="EndnoteText"/>
        <w:rPr>
          <w:rFonts w:ascii="Arial" w:hAnsi="Arial" w:cs="Arial"/>
          <w:sz w:val="18"/>
          <w:szCs w:val="18"/>
        </w:rPr>
      </w:pPr>
      <w:hyperlink r:id="rId10" w:history="1">
        <w:r w:rsidR="00E51964" w:rsidRPr="00FD1F1E">
          <w:rPr>
            <w:rStyle w:val="Hyperlink"/>
            <w:rFonts w:ascii="Arial" w:hAnsi="Arial" w:cs="Arial"/>
            <w:sz w:val="18"/>
            <w:szCs w:val="18"/>
          </w:rPr>
          <w:t>https://www.usnews.com/news/top-news/articles/2021-09-23/china-evergrande-bondholders-in-limbo-over-debt-resolution</w:t>
        </w:r>
      </w:hyperlink>
    </w:p>
    <w:p w14:paraId="40CCA478" w14:textId="0CEC78EE" w:rsidR="00E51964" w:rsidRPr="00FD1F1E" w:rsidRDefault="002841C2" w:rsidP="00E51964">
      <w:pPr>
        <w:pStyle w:val="EndnoteText"/>
        <w:rPr>
          <w:rFonts w:ascii="Arial" w:hAnsi="Arial" w:cs="Arial"/>
          <w:sz w:val="18"/>
          <w:szCs w:val="18"/>
        </w:rPr>
      </w:pPr>
      <w:hyperlink r:id="rId11" w:history="1">
        <w:r w:rsidR="00E51964" w:rsidRPr="008B74E0">
          <w:rPr>
            <w:rStyle w:val="Hyperlink"/>
            <w:rFonts w:ascii="Arial" w:hAnsi="Arial" w:cs="Arial"/>
            <w:sz w:val="18"/>
            <w:szCs w:val="18"/>
          </w:rPr>
          <w:t>https://www.barrons.com/articles/stock-market-news-federal-reserve-51632527337?refsec=the-trader</w:t>
        </w:r>
      </w:hyperlink>
      <w:r w:rsidR="00E51964">
        <w:rPr>
          <w:rFonts w:ascii="Arial" w:hAnsi="Arial" w:cs="Arial"/>
          <w:sz w:val="18"/>
          <w:szCs w:val="18"/>
        </w:rPr>
        <w:t xml:space="preserve"> (</w:t>
      </w:r>
      <w:r w:rsidR="00E51964" w:rsidRPr="00FD1F1E">
        <w:rPr>
          <w:rFonts w:ascii="Arial" w:hAnsi="Arial" w:cs="Arial"/>
          <w:i/>
          <w:iCs/>
          <w:sz w:val="18"/>
          <w:szCs w:val="18"/>
        </w:rPr>
        <w:t xml:space="preserve">or go to </w:t>
      </w:r>
      <w:hyperlink r:id="rId12" w:history="1">
        <w:r w:rsidR="00E51964" w:rsidRPr="008B74E0">
          <w:rPr>
            <w:rStyle w:val="Hyperlink"/>
            <w:rFonts w:ascii="Arial" w:hAnsi="Arial" w:cs="Arial"/>
            <w:sz w:val="18"/>
            <w:szCs w:val="18"/>
          </w:rPr>
          <w:t>https://resources.carsongroup.com/hubfs/WMC-Source/2021/092721_Barrons_The%20Stock%20Market%20Survived%20China%20Evergrand_6.pdf</w:t>
        </w:r>
      </w:hyperlink>
      <w:r w:rsidR="00E51964">
        <w:rPr>
          <w:rFonts w:ascii="Arial" w:hAnsi="Arial" w:cs="Arial"/>
          <w:sz w:val="18"/>
          <w:szCs w:val="18"/>
        </w:rPr>
        <w:t xml:space="preserve">) </w:t>
      </w:r>
    </w:p>
    <w:p w14:paraId="05CE6D55" w14:textId="6BF40EE6" w:rsidR="00E51964" w:rsidRDefault="002841C2" w:rsidP="00E51964">
      <w:pPr>
        <w:pStyle w:val="EndnoteText"/>
        <w:rPr>
          <w:rFonts w:ascii="Arial" w:hAnsi="Arial" w:cs="Arial"/>
          <w:sz w:val="18"/>
          <w:szCs w:val="18"/>
        </w:rPr>
      </w:pPr>
      <w:hyperlink r:id="rId13" w:history="1">
        <w:r w:rsidR="00E51964" w:rsidRPr="008B74E0">
          <w:rPr>
            <w:rStyle w:val="Hyperlink"/>
            <w:rFonts w:ascii="Arial" w:hAnsi="Arial" w:cs="Arial"/>
            <w:sz w:val="18"/>
            <w:szCs w:val="18"/>
          </w:rPr>
          <w:t>https://www.treasury.gov/resource-center/data-chart-center/interest-rates/Pages/TextView.aspx?data=yield</w:t>
        </w:r>
      </w:hyperlink>
    </w:p>
    <w:p w14:paraId="5B451245" w14:textId="7F4A999D" w:rsidR="00E51964" w:rsidRDefault="002841C2" w:rsidP="00E51964">
      <w:pPr>
        <w:pStyle w:val="EndnoteText"/>
        <w:rPr>
          <w:rFonts w:ascii="Arial" w:hAnsi="Arial" w:cs="Arial"/>
          <w:sz w:val="18"/>
          <w:szCs w:val="18"/>
        </w:rPr>
      </w:pPr>
      <w:hyperlink r:id="rId14" w:history="1">
        <w:r w:rsidR="00E51964" w:rsidRPr="008B74E0">
          <w:rPr>
            <w:rStyle w:val="Hyperlink"/>
            <w:rFonts w:ascii="Arial" w:hAnsi="Arial" w:cs="Arial"/>
            <w:sz w:val="18"/>
            <w:szCs w:val="18"/>
          </w:rPr>
          <w:t>https://www.bbc.com/news/technology-58678907</w:t>
        </w:r>
      </w:hyperlink>
    </w:p>
    <w:p w14:paraId="03DACA58" w14:textId="56406409" w:rsidR="00E51964" w:rsidRDefault="002841C2" w:rsidP="00E51964">
      <w:pPr>
        <w:pStyle w:val="EndnoteText"/>
        <w:rPr>
          <w:rFonts w:ascii="Arial" w:hAnsi="Arial" w:cs="Arial"/>
          <w:sz w:val="18"/>
          <w:szCs w:val="18"/>
        </w:rPr>
      </w:pPr>
      <w:hyperlink r:id="rId15" w:history="1">
        <w:r w:rsidR="00E51964" w:rsidRPr="008B74E0">
          <w:rPr>
            <w:rStyle w:val="Hyperlink"/>
            <w:rFonts w:ascii="Arial" w:hAnsi="Arial" w:cs="Arial"/>
            <w:sz w:val="18"/>
            <w:szCs w:val="18"/>
          </w:rPr>
          <w:t>https://www.reuters.com/world/china/china-central-bank-vows-crackdown-cryptocurrency-trading-2021-09-24/</w:t>
        </w:r>
      </w:hyperlink>
    </w:p>
    <w:p w14:paraId="7B914D4F" w14:textId="38E5782F" w:rsidR="00E51964" w:rsidRDefault="002841C2" w:rsidP="00E51964">
      <w:pPr>
        <w:pStyle w:val="EndnoteText"/>
        <w:rPr>
          <w:rFonts w:ascii="Arial" w:hAnsi="Arial" w:cs="Arial"/>
          <w:sz w:val="18"/>
          <w:szCs w:val="18"/>
        </w:rPr>
      </w:pPr>
      <w:hyperlink r:id="rId16" w:history="1">
        <w:r w:rsidR="00E51964" w:rsidRPr="008B74E0">
          <w:rPr>
            <w:rStyle w:val="Hyperlink"/>
            <w:rFonts w:ascii="Arial" w:hAnsi="Arial" w:cs="Arial"/>
            <w:sz w:val="18"/>
            <w:szCs w:val="18"/>
          </w:rPr>
          <w:t>https://www.merriam-webster.com/dictionary/cryptocurrency</w:t>
        </w:r>
      </w:hyperlink>
    </w:p>
    <w:p w14:paraId="104FCA83" w14:textId="22D0A20C" w:rsidR="00E51964" w:rsidRPr="00FD1F1E" w:rsidRDefault="002841C2" w:rsidP="00E51964">
      <w:pPr>
        <w:pStyle w:val="EndnoteText"/>
        <w:rPr>
          <w:rFonts w:ascii="Arial" w:hAnsi="Arial" w:cs="Arial"/>
          <w:sz w:val="18"/>
          <w:szCs w:val="18"/>
        </w:rPr>
      </w:pPr>
      <w:hyperlink r:id="rId17" w:history="1">
        <w:r w:rsidR="00E51964" w:rsidRPr="008B74E0">
          <w:rPr>
            <w:rStyle w:val="Hyperlink"/>
            <w:rFonts w:ascii="Arial" w:hAnsi="Arial" w:cs="Arial"/>
            <w:sz w:val="18"/>
            <w:szCs w:val="18"/>
          </w:rPr>
          <w:t>https://www.barrons.com/articles/china-central-bank-bans-crypto-bitcoin-ethereum-prices-51632477760?mod=hp_LEAD_1</w:t>
        </w:r>
      </w:hyperlink>
      <w:r w:rsidR="00E51964">
        <w:rPr>
          <w:rFonts w:ascii="Arial" w:hAnsi="Arial" w:cs="Arial"/>
          <w:sz w:val="18"/>
          <w:szCs w:val="18"/>
        </w:rPr>
        <w:t xml:space="preserve"> (</w:t>
      </w:r>
      <w:r w:rsidR="00E51964" w:rsidRPr="00FD1F1E">
        <w:rPr>
          <w:rFonts w:ascii="Arial" w:hAnsi="Arial" w:cs="Arial"/>
          <w:i/>
          <w:iCs/>
          <w:sz w:val="18"/>
          <w:szCs w:val="18"/>
        </w:rPr>
        <w:t>or go to</w:t>
      </w:r>
      <w:r w:rsidR="00E51964">
        <w:rPr>
          <w:rFonts w:ascii="Arial" w:hAnsi="Arial" w:cs="Arial"/>
          <w:sz w:val="18"/>
          <w:szCs w:val="18"/>
        </w:rPr>
        <w:t xml:space="preserve"> </w:t>
      </w:r>
      <w:hyperlink r:id="rId18" w:history="1">
        <w:r w:rsidR="00E51964" w:rsidRPr="008B74E0">
          <w:rPr>
            <w:rStyle w:val="Hyperlink"/>
            <w:rFonts w:ascii="Arial" w:hAnsi="Arial" w:cs="Arial"/>
            <w:sz w:val="18"/>
            <w:szCs w:val="18"/>
          </w:rPr>
          <w:t>https://resources.carsongroup.com/hubfs/WMC-Source/2021/092721_Barrons_Crypto%20Crumbles.%20What%20Chinas%20Ban%20Means%20for%20Digital%20Currencies_11.pdf</w:t>
        </w:r>
      </w:hyperlink>
      <w:r w:rsidR="00E51964">
        <w:rPr>
          <w:rFonts w:ascii="Arial" w:hAnsi="Arial" w:cs="Arial"/>
          <w:sz w:val="18"/>
          <w:szCs w:val="18"/>
        </w:rPr>
        <w:t xml:space="preserve">) </w:t>
      </w:r>
    </w:p>
    <w:p w14:paraId="6018ABF9" w14:textId="5E1D3D97" w:rsidR="00E51964" w:rsidRPr="00FD1F1E" w:rsidRDefault="002841C2" w:rsidP="00E51964">
      <w:pPr>
        <w:pStyle w:val="EndnoteText"/>
        <w:rPr>
          <w:rFonts w:ascii="Arial" w:hAnsi="Arial" w:cs="Arial"/>
          <w:sz w:val="18"/>
          <w:szCs w:val="18"/>
        </w:rPr>
      </w:pPr>
      <w:hyperlink r:id="rId19" w:history="1">
        <w:r w:rsidR="00E51964" w:rsidRPr="008B74E0">
          <w:rPr>
            <w:rStyle w:val="Hyperlink"/>
            <w:rFonts w:ascii="Arial" w:hAnsi="Arial" w:cs="Arial"/>
            <w:sz w:val="18"/>
            <w:szCs w:val="18"/>
          </w:rPr>
          <w:t>https://www.nytimes.com/2021/09/23/us/politics/cryptocurrency-regulators-rules.html</w:t>
        </w:r>
      </w:hyperlink>
      <w:r w:rsidR="00E51964">
        <w:rPr>
          <w:rFonts w:ascii="Arial" w:hAnsi="Arial" w:cs="Arial"/>
          <w:sz w:val="18"/>
          <w:szCs w:val="18"/>
        </w:rPr>
        <w:t xml:space="preserve"> (</w:t>
      </w:r>
      <w:r w:rsidR="00E51964" w:rsidRPr="00FD1F1E">
        <w:rPr>
          <w:rFonts w:ascii="Arial" w:hAnsi="Arial" w:cs="Arial"/>
          <w:i/>
          <w:iCs/>
          <w:sz w:val="18"/>
          <w:szCs w:val="18"/>
        </w:rPr>
        <w:t xml:space="preserve">or go to </w:t>
      </w:r>
      <w:hyperlink r:id="rId20" w:history="1">
        <w:r w:rsidR="00E51964" w:rsidRPr="008B74E0">
          <w:rPr>
            <w:rStyle w:val="Hyperlink"/>
            <w:rFonts w:ascii="Arial" w:hAnsi="Arial" w:cs="Arial"/>
            <w:sz w:val="18"/>
            <w:szCs w:val="18"/>
          </w:rPr>
          <w:t>https://resources.carsongroup.com/hubfs/WMC-</w:t>
        </w:r>
        <w:r w:rsidR="00E51964" w:rsidRPr="008B74E0">
          <w:rPr>
            <w:rStyle w:val="Hyperlink"/>
            <w:rFonts w:ascii="Arial" w:hAnsi="Arial" w:cs="Arial"/>
            <w:sz w:val="18"/>
            <w:szCs w:val="18"/>
          </w:rPr>
          <w:lastRenderedPageBreak/>
          <w:t>Source/2021/092721_New%20York%20Times_Regulators%20Racing%20Toward%20First%20Major%20Rules%20on%20Crypto_12.pdf</w:t>
        </w:r>
      </w:hyperlink>
      <w:r w:rsidR="00E51964">
        <w:rPr>
          <w:rFonts w:ascii="Arial" w:hAnsi="Arial" w:cs="Arial"/>
          <w:sz w:val="18"/>
          <w:szCs w:val="18"/>
        </w:rPr>
        <w:t xml:space="preserve">) </w:t>
      </w:r>
    </w:p>
    <w:p w14:paraId="2D8A6BFD" w14:textId="33CD17F7" w:rsidR="00E51964" w:rsidRDefault="002841C2" w:rsidP="00E51964">
      <w:pPr>
        <w:pStyle w:val="EndnoteText"/>
        <w:rPr>
          <w:rFonts w:ascii="Arial" w:hAnsi="Arial" w:cs="Arial"/>
          <w:sz w:val="18"/>
          <w:szCs w:val="18"/>
        </w:rPr>
      </w:pPr>
      <w:hyperlink r:id="rId21" w:history="1">
        <w:r w:rsidR="00E51964" w:rsidRPr="008B74E0">
          <w:rPr>
            <w:rStyle w:val="Hyperlink"/>
            <w:rFonts w:ascii="Arial" w:hAnsi="Arial" w:cs="Arial"/>
            <w:sz w:val="18"/>
            <w:szCs w:val="18"/>
          </w:rPr>
          <w:t>https://www.brainyquote.com/quotes/warren_buffett_149678</w:t>
        </w:r>
      </w:hyperlink>
    </w:p>
    <w:p w14:paraId="325D9E68" w14:textId="77777777" w:rsidR="00E51964" w:rsidRPr="00FD1F1E" w:rsidRDefault="00E51964" w:rsidP="00E51964">
      <w:pPr>
        <w:pStyle w:val="EndnoteText"/>
        <w:rPr>
          <w:rFonts w:ascii="Arial" w:hAnsi="Arial" w:cs="Arial"/>
          <w:sz w:val="18"/>
          <w:szCs w:val="18"/>
        </w:rPr>
      </w:pPr>
    </w:p>
    <w:p w14:paraId="4C92B8EC" w14:textId="77777777" w:rsidR="00E51964" w:rsidRPr="00EF46A2" w:rsidRDefault="00E51964" w:rsidP="00E51964">
      <w:pPr>
        <w:rPr>
          <w:rStyle w:val="Hyperlink"/>
          <w:rFonts w:ascii="Arial" w:hAnsi="Arial" w:cs="Arial"/>
          <w:color w:val="auto"/>
          <w:sz w:val="20"/>
          <w:szCs w:val="20"/>
          <w:u w:val="none"/>
        </w:rPr>
      </w:pPr>
    </w:p>
    <w:p w14:paraId="66C2295B" w14:textId="35F8E78D" w:rsidR="00441CE6" w:rsidRPr="0056229A" w:rsidRDefault="00441CE6" w:rsidP="00E51964">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0"/>
  </w:num>
  <w:num w:numId="5">
    <w:abstractNumId w:val="21"/>
  </w:num>
  <w:num w:numId="6">
    <w:abstractNumId w:val="12"/>
  </w:num>
  <w:num w:numId="7">
    <w:abstractNumId w:val="9"/>
  </w:num>
  <w:num w:numId="8">
    <w:abstractNumId w:val="14"/>
  </w:num>
  <w:num w:numId="9">
    <w:abstractNumId w:val="5"/>
  </w:num>
  <w:num w:numId="10">
    <w:abstractNumId w:val="6"/>
  </w:num>
  <w:num w:numId="11">
    <w:abstractNumId w:val="31"/>
  </w:num>
  <w:num w:numId="12">
    <w:abstractNumId w:val="28"/>
  </w:num>
  <w:num w:numId="13">
    <w:abstractNumId w:val="7"/>
  </w:num>
  <w:num w:numId="14">
    <w:abstractNumId w:val="27"/>
  </w:num>
  <w:num w:numId="15">
    <w:abstractNumId w:val="32"/>
  </w:num>
  <w:num w:numId="16">
    <w:abstractNumId w:val="23"/>
  </w:num>
  <w:num w:numId="17">
    <w:abstractNumId w:val="16"/>
  </w:num>
  <w:num w:numId="18">
    <w:abstractNumId w:val="0"/>
  </w:num>
  <w:num w:numId="19">
    <w:abstractNumId w:val="8"/>
  </w:num>
  <w:num w:numId="20">
    <w:abstractNumId w:val="30"/>
  </w:num>
  <w:num w:numId="21">
    <w:abstractNumId w:val="11"/>
  </w:num>
  <w:num w:numId="22">
    <w:abstractNumId w:val="3"/>
  </w:num>
  <w:num w:numId="23">
    <w:abstractNumId w:val="25"/>
  </w:num>
  <w:num w:numId="24">
    <w:abstractNumId w:val="19"/>
  </w:num>
  <w:num w:numId="25">
    <w:abstractNumId w:val="24"/>
  </w:num>
  <w:num w:numId="26">
    <w:abstractNumId w:val="22"/>
  </w:num>
  <w:num w:numId="27">
    <w:abstractNumId w:val="26"/>
  </w:num>
  <w:num w:numId="28">
    <w:abstractNumId w:val="29"/>
  </w:num>
  <w:num w:numId="29">
    <w:abstractNumId w:val="10"/>
  </w:num>
  <w:num w:numId="30">
    <w:abstractNumId w:val="18"/>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41C2"/>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3F71"/>
    <w:rsid w:val="005D67C2"/>
    <w:rsid w:val="005E33CC"/>
    <w:rsid w:val="005E58E1"/>
    <w:rsid w:val="005F0271"/>
    <w:rsid w:val="00607EEF"/>
    <w:rsid w:val="00610EDB"/>
    <w:rsid w:val="006125EE"/>
    <w:rsid w:val="006142D8"/>
    <w:rsid w:val="00617D6F"/>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77E62"/>
    <w:rsid w:val="0068066D"/>
    <w:rsid w:val="0068164C"/>
    <w:rsid w:val="00687965"/>
    <w:rsid w:val="0069617F"/>
    <w:rsid w:val="00696B94"/>
    <w:rsid w:val="006A117B"/>
    <w:rsid w:val="006A27DA"/>
    <w:rsid w:val="006A2DFF"/>
    <w:rsid w:val="006A4FA8"/>
    <w:rsid w:val="006B13D6"/>
    <w:rsid w:val="006B4844"/>
    <w:rsid w:val="006C040C"/>
    <w:rsid w:val="006C0418"/>
    <w:rsid w:val="006C1B9B"/>
    <w:rsid w:val="006C5DF7"/>
    <w:rsid w:val="006C607B"/>
    <w:rsid w:val="006E22A9"/>
    <w:rsid w:val="006E30E0"/>
    <w:rsid w:val="006E3596"/>
    <w:rsid w:val="006E7B36"/>
    <w:rsid w:val="006F53E7"/>
    <w:rsid w:val="006F74D3"/>
    <w:rsid w:val="006F7613"/>
    <w:rsid w:val="007016B4"/>
    <w:rsid w:val="007067D4"/>
    <w:rsid w:val="00713498"/>
    <w:rsid w:val="00714381"/>
    <w:rsid w:val="00714AD0"/>
    <w:rsid w:val="00714B5B"/>
    <w:rsid w:val="007159B4"/>
    <w:rsid w:val="00717ED1"/>
    <w:rsid w:val="007227D7"/>
    <w:rsid w:val="007232DE"/>
    <w:rsid w:val="00727330"/>
    <w:rsid w:val="0074149D"/>
    <w:rsid w:val="00747110"/>
    <w:rsid w:val="0075188D"/>
    <w:rsid w:val="00754E4F"/>
    <w:rsid w:val="0075726C"/>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3F22"/>
    <w:rsid w:val="008A7CD8"/>
    <w:rsid w:val="008B073A"/>
    <w:rsid w:val="008B3B2C"/>
    <w:rsid w:val="008B3E93"/>
    <w:rsid w:val="008B45AD"/>
    <w:rsid w:val="008B61AE"/>
    <w:rsid w:val="008C06EB"/>
    <w:rsid w:val="008C4339"/>
    <w:rsid w:val="008C6053"/>
    <w:rsid w:val="008D081C"/>
    <w:rsid w:val="008D1548"/>
    <w:rsid w:val="008D212A"/>
    <w:rsid w:val="008E1473"/>
    <w:rsid w:val="008F221D"/>
    <w:rsid w:val="008F2BC5"/>
    <w:rsid w:val="008F457E"/>
    <w:rsid w:val="00902484"/>
    <w:rsid w:val="009056AC"/>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C7879"/>
    <w:rsid w:val="009D0E21"/>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E01BDB"/>
    <w:rsid w:val="00E05181"/>
    <w:rsid w:val="00E125CA"/>
    <w:rsid w:val="00E1388E"/>
    <w:rsid w:val="00E14A5C"/>
    <w:rsid w:val="00E1743A"/>
    <w:rsid w:val="00E220DC"/>
    <w:rsid w:val="00E23B8D"/>
    <w:rsid w:val="00E31B35"/>
    <w:rsid w:val="00E335CF"/>
    <w:rsid w:val="00E41364"/>
    <w:rsid w:val="00E43A0A"/>
    <w:rsid w:val="00E45DF4"/>
    <w:rsid w:val="00E51964"/>
    <w:rsid w:val="00E53F24"/>
    <w:rsid w:val="00E54870"/>
    <w:rsid w:val="00E60283"/>
    <w:rsid w:val="00E642E3"/>
    <w:rsid w:val="00E64D97"/>
    <w:rsid w:val="00E66F78"/>
    <w:rsid w:val="00E83894"/>
    <w:rsid w:val="00E83BCB"/>
    <w:rsid w:val="00E85465"/>
    <w:rsid w:val="00E85C67"/>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909DA"/>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2841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092721_Barrons_The%20Dow%20Held%20Steady%2c%20Bitcoin%20Fell_3.pdf" TargetMode="External"/><Relationship Id="rId13" Type="http://schemas.openxmlformats.org/officeDocument/2006/relationships/hyperlink" Target="https://www.treasury.gov/resource-center/data-chart-center/interest-rates/Pages/TextView.aspx?data=yield" TargetMode="External"/><Relationship Id="rId18" Type="http://schemas.openxmlformats.org/officeDocument/2006/relationships/hyperlink" Target="https://resources.carsongroup.com/hubfs/WMC-Source/2021/092721_Barrons_Crypto%20Crumbles.%20What%20Chinas%20Ban%20Means%20for%20Digital%20Currencies_11.pdf" TargetMode="External"/><Relationship Id="rId3" Type="http://schemas.openxmlformats.org/officeDocument/2006/relationships/settings" Target="settings.xml"/><Relationship Id="rId21" Type="http://schemas.openxmlformats.org/officeDocument/2006/relationships/hyperlink" Target="https://www.brainyquote.com/quotes/warren_buffett_149678" TargetMode="External"/><Relationship Id="rId7" Type="http://schemas.openxmlformats.org/officeDocument/2006/relationships/hyperlink" Target="https://www.barrons.com/articles/stock-market-today-51632471196?mod=hp_LEAD_3" TargetMode="External"/><Relationship Id="rId12" Type="http://schemas.openxmlformats.org/officeDocument/2006/relationships/hyperlink" Target="https://resources.carsongroup.com/hubfs/WMC-Source/2021/092721_Barrons_The%20Stock%20Market%20Survived%20China%20Evergrand_6.pdf" TargetMode="External"/><Relationship Id="rId17" Type="http://schemas.openxmlformats.org/officeDocument/2006/relationships/hyperlink" Target="https://www.barrons.com/articles/china-central-bank-bans-crypto-bitcoin-ethereum-prices-51632477760?mod=hp_LEAD_1" TargetMode="External"/><Relationship Id="rId2" Type="http://schemas.openxmlformats.org/officeDocument/2006/relationships/styles" Target="styles.xml"/><Relationship Id="rId16" Type="http://schemas.openxmlformats.org/officeDocument/2006/relationships/hyperlink" Target="https://www.merriam-webster.com/dictionary/cryptocurrency" TargetMode="External"/><Relationship Id="rId20" Type="http://schemas.openxmlformats.org/officeDocument/2006/relationships/hyperlink" Target="https://resources.carsongroup.com/hubfs/WMC-Source/2021/092721_New%20York%20Times_Regulators%20Racing%20Toward%20First%20Major%20Rules%20on%20Crypto_12.pdf" TargetMode="External"/><Relationship Id="rId1" Type="http://schemas.openxmlformats.org/officeDocument/2006/relationships/numbering" Target="numbering.xml"/><Relationship Id="rId6" Type="http://schemas.openxmlformats.org/officeDocument/2006/relationships/hyperlink" Target="https://www.reuters.com/world/uk/bank-england-keeps-interest-rate-unchanged-01-2021-09-23/" TargetMode="External"/><Relationship Id="rId11" Type="http://schemas.openxmlformats.org/officeDocument/2006/relationships/hyperlink" Target="https://www.barrons.com/articles/stock-market-news-federal-reserve-51632527337?refsec=the-trader" TargetMode="External"/><Relationship Id="rId5" Type="http://schemas.openxmlformats.org/officeDocument/2006/relationships/hyperlink" Target="https://www.cnbc.com/2021/09/23/heres-what-will-happen-when-the-feds-tapering-starts-and-why-you-should-care.html" TargetMode="External"/><Relationship Id="rId15" Type="http://schemas.openxmlformats.org/officeDocument/2006/relationships/hyperlink" Target="https://www.reuters.com/world/china/china-central-bank-vows-crackdown-cryptocurrency-trading-2021-09-24/" TargetMode="External"/><Relationship Id="rId23" Type="http://schemas.openxmlformats.org/officeDocument/2006/relationships/theme" Target="theme/theme1.xml"/><Relationship Id="rId10" Type="http://schemas.openxmlformats.org/officeDocument/2006/relationships/hyperlink" Target="https://www.usnews.com/news/top-news/articles/2021-09-23/china-evergrande-bondholders-in-limbo-over-debt-resolution" TargetMode="External"/><Relationship Id="rId19" Type="http://schemas.openxmlformats.org/officeDocument/2006/relationships/hyperlink" Target="https://www.nytimes.com/2021/09/23/us/politics/cryptocurrency-regulators-rules.html" TargetMode="External"/><Relationship Id="rId4" Type="http://schemas.openxmlformats.org/officeDocument/2006/relationships/webSettings" Target="webSettings.xml"/><Relationship Id="rId9" Type="http://schemas.openxmlformats.org/officeDocument/2006/relationships/hyperlink" Target="https://www.schroders.com/en/media-relations/newsroom/insights/what-do-rising-bond-yields-mean-for-the-us-stock-market/" TargetMode="External"/><Relationship Id="rId14" Type="http://schemas.openxmlformats.org/officeDocument/2006/relationships/hyperlink" Target="https://www.bbc.com/news/technology-5867890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2021-11-08T19:27:00Z</dcterms:created>
  <dcterms:modified xsi:type="dcterms:W3CDTF">2021-11-08T19:27:00Z</dcterms:modified>
</cp:coreProperties>
</file>