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0325DE" w:rsidRDefault="00EC6B27" w:rsidP="00DF5DFB">
      <w:pPr>
        <w:ind w:right="-36"/>
        <w:jc w:val="center"/>
        <w:rPr>
          <w:b/>
          <w:bCs/>
          <w:color w:val="35DB3F"/>
          <w:sz w:val="32"/>
          <w:szCs w:val="32"/>
        </w:rPr>
      </w:pPr>
      <w:r w:rsidRPr="000325DE">
        <w:rPr>
          <w:b/>
          <w:bCs/>
          <w:color w:val="35DB3F"/>
          <w:sz w:val="32"/>
          <w:szCs w:val="32"/>
        </w:rPr>
        <w:t xml:space="preserve">Weekly </w:t>
      </w:r>
      <w:r w:rsidR="000F6D15" w:rsidRPr="000325DE">
        <w:rPr>
          <w:b/>
          <w:bCs/>
          <w:color w:val="35DB3F"/>
          <w:sz w:val="32"/>
          <w:szCs w:val="32"/>
        </w:rPr>
        <w:t>Market</w:t>
      </w:r>
      <w:r w:rsidR="005B7A1C" w:rsidRPr="000325DE">
        <w:rPr>
          <w:b/>
          <w:bCs/>
          <w:color w:val="35DB3F"/>
          <w:sz w:val="32"/>
          <w:szCs w:val="32"/>
        </w:rPr>
        <w:t xml:space="preserve"> </w:t>
      </w:r>
      <w:r w:rsidR="00827069" w:rsidRPr="000325DE">
        <w:rPr>
          <w:b/>
          <w:bCs/>
          <w:color w:val="35DB3F"/>
          <w:sz w:val="32"/>
          <w:szCs w:val="32"/>
        </w:rPr>
        <w:t>Commentary</w:t>
      </w:r>
    </w:p>
    <w:p w14:paraId="6890971C" w14:textId="44696825" w:rsidR="00827069" w:rsidRPr="000325DE" w:rsidRDefault="00C62375" w:rsidP="00DF5DFB">
      <w:pPr>
        <w:ind w:right="-36"/>
        <w:jc w:val="center"/>
        <w:rPr>
          <w:b/>
          <w:bCs/>
          <w:color w:val="35DB3F"/>
          <w:sz w:val="32"/>
          <w:szCs w:val="32"/>
        </w:rPr>
      </w:pPr>
      <w:r w:rsidRPr="000325DE">
        <w:rPr>
          <w:b/>
          <w:bCs/>
          <w:color w:val="35DB3F"/>
          <w:sz w:val="32"/>
          <w:szCs w:val="32"/>
        </w:rPr>
        <w:t>February</w:t>
      </w:r>
      <w:r w:rsidR="00ED6866" w:rsidRPr="000325DE">
        <w:rPr>
          <w:b/>
          <w:bCs/>
          <w:color w:val="35DB3F"/>
          <w:sz w:val="32"/>
          <w:szCs w:val="32"/>
        </w:rPr>
        <w:t xml:space="preserve"> </w:t>
      </w:r>
      <w:r w:rsidR="00F228CB" w:rsidRPr="000325DE">
        <w:rPr>
          <w:b/>
          <w:bCs/>
          <w:color w:val="35DB3F"/>
          <w:sz w:val="32"/>
          <w:szCs w:val="32"/>
        </w:rPr>
        <w:t>24</w:t>
      </w:r>
      <w:r w:rsidR="00ED6866" w:rsidRPr="000325DE">
        <w:rPr>
          <w:b/>
          <w:bCs/>
          <w:color w:val="35DB3F"/>
          <w:sz w:val="32"/>
          <w:szCs w:val="32"/>
        </w:rPr>
        <w:t>, 20</w:t>
      </w:r>
      <w:r w:rsidR="002E66F8" w:rsidRPr="000325DE">
        <w:rPr>
          <w:b/>
          <w:bCs/>
          <w:color w:val="35DB3F"/>
          <w:sz w:val="32"/>
          <w:szCs w:val="32"/>
        </w:rPr>
        <w:t>20</w:t>
      </w:r>
    </w:p>
    <w:p w14:paraId="0E020AD4" w14:textId="3BB2E5E7" w:rsidR="00893C7B" w:rsidRPr="000325DE" w:rsidRDefault="00893C7B" w:rsidP="00DF5DFB">
      <w:pPr>
        <w:ind w:right="-36"/>
        <w:rPr>
          <w:color w:val="639D3F"/>
        </w:rPr>
      </w:pPr>
    </w:p>
    <w:p w14:paraId="60492556" w14:textId="65DCD0C8" w:rsidR="00894418" w:rsidRPr="000325DE" w:rsidRDefault="009E284D" w:rsidP="00DF5DFB">
      <w:pPr>
        <w:ind w:right="-36"/>
        <w:rPr>
          <w:b/>
          <w:bCs/>
          <w:color w:val="35DB3F"/>
          <w:sz w:val="28"/>
          <w:szCs w:val="28"/>
        </w:rPr>
      </w:pPr>
      <w:r w:rsidRPr="000325DE">
        <w:rPr>
          <w:b/>
          <w:bCs/>
          <w:color w:val="35DB3F"/>
          <w:sz w:val="28"/>
          <w:szCs w:val="28"/>
        </w:rPr>
        <w:t>The Markets</w:t>
      </w:r>
      <w:r w:rsidR="00DB3763" w:rsidRPr="000325DE">
        <w:rPr>
          <w:bCs/>
          <w:color w:val="35DB3F"/>
        </w:rPr>
        <w:t xml:space="preserve"> </w:t>
      </w:r>
    </w:p>
    <w:p w14:paraId="3B792656" w14:textId="77777777" w:rsidR="00E4164D" w:rsidRPr="000325DE" w:rsidRDefault="00E4164D" w:rsidP="00DF5DFB">
      <w:pPr>
        <w:ind w:right="-36"/>
      </w:pPr>
    </w:p>
    <w:p w14:paraId="203FC702" w14:textId="4DC1D5BE" w:rsidR="00C47F72" w:rsidRPr="000325DE" w:rsidRDefault="00C47F72" w:rsidP="00DF5DFB">
      <w:pPr>
        <w:ind w:right="-36"/>
      </w:pPr>
      <w:r w:rsidRPr="000325DE">
        <w:t>Risk on or risk off?</w:t>
      </w:r>
    </w:p>
    <w:p w14:paraId="483274C9" w14:textId="52B7125E" w:rsidR="00C47F72" w:rsidRPr="000325DE" w:rsidRDefault="00C47F72" w:rsidP="00DF5DFB">
      <w:pPr>
        <w:ind w:right="-36"/>
      </w:pPr>
    </w:p>
    <w:p w14:paraId="4696C33F" w14:textId="216C85BC" w:rsidR="008528F4" w:rsidRPr="000325DE" w:rsidRDefault="00DD0565" w:rsidP="00DF5DFB">
      <w:pPr>
        <w:ind w:right="-36"/>
      </w:pPr>
      <w:r w:rsidRPr="000325DE">
        <w:t>The c</w:t>
      </w:r>
      <w:r w:rsidR="00C47F72" w:rsidRPr="000325DE">
        <w:t>oronavirus appears to have inspired two distinct schools of thought among investors.</w:t>
      </w:r>
      <w:r w:rsidR="008F5BE4" w:rsidRPr="000325DE">
        <w:t xml:space="preserve"> Some </w:t>
      </w:r>
      <w:r w:rsidR="003815BF" w:rsidRPr="000325DE">
        <w:t>investors</w:t>
      </w:r>
      <w:r w:rsidR="008F5BE4" w:rsidRPr="000325DE">
        <w:t xml:space="preserve"> </w:t>
      </w:r>
      <w:r w:rsidR="003815BF" w:rsidRPr="000325DE">
        <w:t xml:space="preserve">currently </w:t>
      </w:r>
      <w:r w:rsidR="008F5BE4" w:rsidRPr="000325DE">
        <w:t xml:space="preserve">favor </w:t>
      </w:r>
      <w:r w:rsidR="000E2DD7" w:rsidRPr="000325DE">
        <w:t>opportunities that are considered lower risk</w:t>
      </w:r>
      <w:r w:rsidR="008F5BE4" w:rsidRPr="000325DE">
        <w:t xml:space="preserve">, like Treasury bonds and gold, because they’re concerned about the potential impact of </w:t>
      </w:r>
      <w:r w:rsidRPr="000325DE">
        <w:t xml:space="preserve">the </w:t>
      </w:r>
      <w:r w:rsidR="008F5BE4" w:rsidRPr="000325DE">
        <w:t>coronavirus on the global economy</w:t>
      </w:r>
      <w:r w:rsidR="004A6172" w:rsidRPr="000325DE">
        <w:t>.</w:t>
      </w:r>
      <w:r w:rsidR="008F5BE4" w:rsidRPr="000325DE">
        <w:t xml:space="preserve"> </w:t>
      </w:r>
      <w:r w:rsidR="004A6172" w:rsidRPr="000325DE">
        <w:t xml:space="preserve">Others are piling into higher risk assets, like stocks, that could benefit </w:t>
      </w:r>
      <w:r w:rsidR="000E2DD7" w:rsidRPr="000325DE">
        <w:t>if</w:t>
      </w:r>
      <w:r w:rsidR="004A6172" w:rsidRPr="000325DE">
        <w:t xml:space="preserve"> central banks</w:t>
      </w:r>
      <w:r w:rsidR="003815BF" w:rsidRPr="000325DE">
        <w:t xml:space="preserve"> (like the United States Federal Reserve) </w:t>
      </w:r>
      <w:r w:rsidR="004A6172" w:rsidRPr="000325DE">
        <w:t>take steps to stimulate economic growth</w:t>
      </w:r>
      <w:r w:rsidR="00397C38" w:rsidRPr="000325DE">
        <w:t xml:space="preserve">, reported Randall Forsyth of </w:t>
      </w:r>
      <w:r w:rsidR="00397C38" w:rsidRPr="000325DE">
        <w:rPr>
          <w:i/>
          <w:iCs/>
        </w:rPr>
        <w:t>Barron</w:t>
      </w:r>
      <w:r w:rsidR="00051254" w:rsidRPr="000325DE">
        <w:rPr>
          <w:i/>
          <w:iCs/>
        </w:rPr>
        <w:t>’</w:t>
      </w:r>
      <w:r w:rsidR="00397C38" w:rsidRPr="000325DE">
        <w:rPr>
          <w:i/>
          <w:iCs/>
        </w:rPr>
        <w:t>s</w:t>
      </w:r>
      <w:r w:rsidR="004A6172" w:rsidRPr="000325DE">
        <w:t>.</w:t>
      </w:r>
    </w:p>
    <w:p w14:paraId="77A7F8D8" w14:textId="77777777" w:rsidR="008528F4" w:rsidRPr="000325DE" w:rsidRDefault="008528F4" w:rsidP="00DF5DFB">
      <w:pPr>
        <w:ind w:right="-36"/>
      </w:pPr>
    </w:p>
    <w:p w14:paraId="3B6D137D" w14:textId="16AE36FE" w:rsidR="003815BF" w:rsidRPr="000325DE" w:rsidRDefault="008528F4" w:rsidP="00DF5DFB">
      <w:pPr>
        <w:ind w:right="-36"/>
      </w:pPr>
      <w:r w:rsidRPr="000325DE">
        <w:t xml:space="preserve">Currently, the </w:t>
      </w:r>
      <w:r w:rsidR="003815BF" w:rsidRPr="000325DE">
        <w:t xml:space="preserve">Federal Reserve (Fed) </w:t>
      </w:r>
      <w:r w:rsidRPr="000325DE">
        <w:t xml:space="preserve">is holding interest rates steady. </w:t>
      </w:r>
      <w:r w:rsidR="003815BF" w:rsidRPr="000325DE">
        <w:t>The minutes of the January Federal Open Market Committee meeting indicated the Fed</w:t>
      </w:r>
      <w:r w:rsidR="007629CC" w:rsidRPr="000325DE">
        <w:t>,</w:t>
      </w:r>
      <w:r w:rsidR="003815BF" w:rsidRPr="000325DE">
        <w:t xml:space="preserve"> “…generally saw the distribution of risks to the outlook for economic activity as somewhat more favorable than at the previous meeting,” reported Lindsay Dunsmuir of </w:t>
      </w:r>
      <w:r w:rsidR="003815BF" w:rsidRPr="000325DE">
        <w:rPr>
          <w:i/>
          <w:iCs/>
        </w:rPr>
        <w:t>Reuters</w:t>
      </w:r>
      <w:r w:rsidR="002E1726" w:rsidRPr="000325DE">
        <w:rPr>
          <w:i/>
          <w:iCs/>
        </w:rPr>
        <w:t>.</w:t>
      </w:r>
    </w:p>
    <w:p w14:paraId="0238D659" w14:textId="77777777" w:rsidR="003815BF" w:rsidRPr="000325DE" w:rsidRDefault="003815BF" w:rsidP="00DF5DFB">
      <w:pPr>
        <w:ind w:right="-36"/>
      </w:pPr>
    </w:p>
    <w:p w14:paraId="33F29FEE" w14:textId="1FEAA2BB" w:rsidR="003A7830" w:rsidRPr="000325DE" w:rsidRDefault="008653E9" w:rsidP="00DF5DFB">
      <w:pPr>
        <w:ind w:right="-36"/>
      </w:pPr>
      <w:r w:rsidRPr="000325DE">
        <w:t xml:space="preserve">Last week, </w:t>
      </w:r>
      <w:r w:rsidR="003F277A" w:rsidRPr="000325DE">
        <w:t xml:space="preserve">Fed </w:t>
      </w:r>
      <w:r w:rsidRPr="000325DE">
        <w:t xml:space="preserve">Chair Jerome Powell said it </w:t>
      </w:r>
      <w:r w:rsidR="00F72A1B" w:rsidRPr="000325DE">
        <w:t>was too soon to know</w:t>
      </w:r>
      <w:r w:rsidRPr="000325DE">
        <w:t xml:space="preserve"> whether the economic effects of the coronavirus </w:t>
      </w:r>
      <w:r w:rsidR="00E72AFC" w:rsidRPr="000325DE">
        <w:t>o</w:t>
      </w:r>
      <w:r w:rsidRPr="000325DE">
        <w:t>n the U.S. economy would warrant a change in monetary policy.</w:t>
      </w:r>
    </w:p>
    <w:p w14:paraId="47BDDCAB" w14:textId="77777777" w:rsidR="003864C2" w:rsidRPr="000325DE" w:rsidRDefault="003864C2" w:rsidP="00DF5DFB">
      <w:pPr>
        <w:ind w:right="-36"/>
      </w:pPr>
    </w:p>
    <w:p w14:paraId="73020C8B" w14:textId="0E250AC6" w:rsidR="004A2076" w:rsidRPr="000325DE" w:rsidRDefault="00611AB5" w:rsidP="00DF5DFB">
      <w:pPr>
        <w:ind w:right="-36"/>
      </w:pPr>
      <w:r w:rsidRPr="000325DE">
        <w:t xml:space="preserve">During periods of uncertainty, </w:t>
      </w:r>
      <w:r w:rsidR="00745C30" w:rsidRPr="000325DE">
        <w:t xml:space="preserve">like this one, </w:t>
      </w:r>
      <w:r w:rsidRPr="000325DE">
        <w:t>the benefits of holding well-allocated, well-diversified portfolio</w:t>
      </w:r>
      <w:r w:rsidR="00DD7460" w:rsidRPr="000325DE">
        <w:t>s</w:t>
      </w:r>
      <w:r w:rsidRPr="000325DE">
        <w:t xml:space="preserve"> become clear</w:t>
      </w:r>
      <w:r w:rsidR="00DB5E7C" w:rsidRPr="000325DE">
        <w:t>:</w:t>
      </w:r>
    </w:p>
    <w:p w14:paraId="716E9A94" w14:textId="77777777" w:rsidR="004A2076" w:rsidRPr="000325DE" w:rsidRDefault="004A2076" w:rsidP="00DF5DFB">
      <w:pPr>
        <w:ind w:right="-36"/>
      </w:pPr>
    </w:p>
    <w:p w14:paraId="245E245E" w14:textId="15F2BD3A" w:rsidR="004A2076" w:rsidRPr="000325DE" w:rsidRDefault="00EF1494" w:rsidP="00DF5DFB">
      <w:pPr>
        <w:pStyle w:val="ListParagraph"/>
        <w:numPr>
          <w:ilvl w:val="0"/>
          <w:numId w:val="30"/>
        </w:numPr>
        <w:ind w:right="-36"/>
        <w:rPr>
          <w:sz w:val="24"/>
          <w:szCs w:val="24"/>
        </w:rPr>
      </w:pPr>
      <w:r w:rsidRPr="000325DE">
        <w:rPr>
          <w:sz w:val="24"/>
          <w:szCs w:val="24"/>
        </w:rPr>
        <w:t>By holding asset classes</w:t>
      </w:r>
      <w:r w:rsidR="004A2076" w:rsidRPr="000325DE">
        <w:rPr>
          <w:sz w:val="24"/>
          <w:szCs w:val="24"/>
        </w:rPr>
        <w:t xml:space="preserve"> (e.g.</w:t>
      </w:r>
      <w:r w:rsidR="003F277A" w:rsidRPr="000325DE">
        <w:rPr>
          <w:sz w:val="24"/>
          <w:szCs w:val="24"/>
        </w:rPr>
        <w:t>,</w:t>
      </w:r>
      <w:r w:rsidR="004A2076" w:rsidRPr="000325DE">
        <w:rPr>
          <w:sz w:val="24"/>
          <w:szCs w:val="24"/>
        </w:rPr>
        <w:t xml:space="preserve"> stocks, bonds, and other asset</w:t>
      </w:r>
      <w:r w:rsidR="00A7539B" w:rsidRPr="000325DE">
        <w:rPr>
          <w:sz w:val="24"/>
          <w:szCs w:val="24"/>
        </w:rPr>
        <w:t xml:space="preserve"> type</w:t>
      </w:r>
      <w:r w:rsidR="004A2076" w:rsidRPr="000325DE">
        <w:rPr>
          <w:sz w:val="24"/>
          <w:szCs w:val="24"/>
        </w:rPr>
        <w:t>s)</w:t>
      </w:r>
      <w:r w:rsidRPr="000325DE">
        <w:rPr>
          <w:sz w:val="24"/>
          <w:szCs w:val="24"/>
        </w:rPr>
        <w:t xml:space="preserve"> that respond differently to the same market conditions, investors protect themselves from the poor performance of a single type of asset. </w:t>
      </w:r>
    </w:p>
    <w:p w14:paraId="7BE99BDC" w14:textId="1C5212B8" w:rsidR="00C47F72" w:rsidRPr="000325DE" w:rsidRDefault="00EF1494" w:rsidP="00DF5DFB">
      <w:pPr>
        <w:pStyle w:val="ListParagraph"/>
        <w:numPr>
          <w:ilvl w:val="0"/>
          <w:numId w:val="30"/>
        </w:numPr>
        <w:ind w:right="-36"/>
        <w:rPr>
          <w:sz w:val="24"/>
          <w:szCs w:val="24"/>
        </w:rPr>
      </w:pPr>
      <w:r w:rsidRPr="000325DE">
        <w:rPr>
          <w:sz w:val="24"/>
          <w:szCs w:val="24"/>
        </w:rPr>
        <w:t>By diversifying holdings within asset classes (e.g.</w:t>
      </w:r>
      <w:r w:rsidR="003F277A" w:rsidRPr="000325DE">
        <w:rPr>
          <w:sz w:val="24"/>
          <w:szCs w:val="24"/>
        </w:rPr>
        <w:t>,</w:t>
      </w:r>
      <w:r w:rsidRPr="000325DE">
        <w:rPr>
          <w:sz w:val="24"/>
          <w:szCs w:val="24"/>
        </w:rPr>
        <w:t xml:space="preserve"> </w:t>
      </w:r>
      <w:r w:rsidR="004A2076" w:rsidRPr="000325DE">
        <w:rPr>
          <w:sz w:val="24"/>
          <w:szCs w:val="24"/>
        </w:rPr>
        <w:t xml:space="preserve">investing </w:t>
      </w:r>
      <w:r w:rsidRPr="000325DE">
        <w:rPr>
          <w:sz w:val="24"/>
          <w:szCs w:val="24"/>
        </w:rPr>
        <w:t xml:space="preserve">in </w:t>
      </w:r>
      <w:r w:rsidR="004A2076" w:rsidRPr="000325DE">
        <w:rPr>
          <w:sz w:val="24"/>
          <w:szCs w:val="24"/>
        </w:rPr>
        <w:t>different parts of the world, in</w:t>
      </w:r>
      <w:r w:rsidR="00A7539B" w:rsidRPr="000325DE">
        <w:rPr>
          <w:sz w:val="24"/>
          <w:szCs w:val="24"/>
        </w:rPr>
        <w:t>vesting in</w:t>
      </w:r>
      <w:r w:rsidR="004A2076" w:rsidRPr="000325DE">
        <w:rPr>
          <w:sz w:val="24"/>
          <w:szCs w:val="24"/>
        </w:rPr>
        <w:t xml:space="preserve"> different industries</w:t>
      </w:r>
      <w:r w:rsidRPr="000325DE">
        <w:rPr>
          <w:sz w:val="24"/>
          <w:szCs w:val="24"/>
        </w:rPr>
        <w:t xml:space="preserve">), investors </w:t>
      </w:r>
      <w:r w:rsidR="004A2076" w:rsidRPr="000325DE">
        <w:rPr>
          <w:sz w:val="24"/>
          <w:szCs w:val="24"/>
        </w:rPr>
        <w:t>protect themselves against the poor performance of a single investment.</w:t>
      </w:r>
    </w:p>
    <w:p w14:paraId="21DAA294" w14:textId="2C6A803E" w:rsidR="004A2076" w:rsidRPr="000325DE" w:rsidRDefault="004A2076" w:rsidP="00DF5DFB">
      <w:pPr>
        <w:ind w:right="-36"/>
      </w:pPr>
    </w:p>
    <w:p w14:paraId="0CC69FCC" w14:textId="13A4DC9C" w:rsidR="004A2076" w:rsidRPr="000325DE" w:rsidRDefault="00DD7460" w:rsidP="00DF5DFB">
      <w:pPr>
        <w:ind w:right="-36"/>
      </w:pPr>
      <w:r w:rsidRPr="000325DE">
        <w:t>Choosing a well-allocated and diversified portfolio that aligns with your goals, objectives, and risk tolerance can provide peace-of-mind when markets are volatile.</w:t>
      </w:r>
    </w:p>
    <w:p w14:paraId="5ABFF92D" w14:textId="11C72BB0" w:rsidR="006F407B" w:rsidRPr="000325DE" w:rsidRDefault="006F407B" w:rsidP="00DF5DFB">
      <w:pPr>
        <w:ind w:right="-36"/>
      </w:pPr>
    </w:p>
    <w:p w14:paraId="20E3A77A" w14:textId="27C1A990" w:rsidR="006F407B" w:rsidRPr="000325DE" w:rsidRDefault="006F407B" w:rsidP="00DF5DFB">
      <w:pPr>
        <w:ind w:right="-36"/>
      </w:pPr>
      <w:r w:rsidRPr="000325DE">
        <w:t xml:space="preserve">Last week, </w:t>
      </w:r>
      <w:r w:rsidR="00A14E23" w:rsidRPr="000325DE">
        <w:t>m</w:t>
      </w:r>
      <w:r w:rsidRPr="000325DE">
        <w:t>ajor U.S. stock indices moved lower.</w:t>
      </w:r>
      <w:r w:rsidR="00076B2E" w:rsidRPr="000325DE">
        <w:t xml:space="preserve"> </w:t>
      </w:r>
      <w:r w:rsidR="00FB0110" w:rsidRPr="000325DE">
        <w:t xml:space="preserve">Al Root of </w:t>
      </w:r>
      <w:r w:rsidR="00076B2E" w:rsidRPr="000325DE">
        <w:rPr>
          <w:i/>
          <w:iCs/>
        </w:rPr>
        <w:t>Barron</w:t>
      </w:r>
      <w:r w:rsidR="00051254" w:rsidRPr="000325DE">
        <w:rPr>
          <w:i/>
          <w:iCs/>
        </w:rPr>
        <w:t>’</w:t>
      </w:r>
      <w:r w:rsidR="00076B2E" w:rsidRPr="000325DE">
        <w:rPr>
          <w:i/>
          <w:iCs/>
        </w:rPr>
        <w:t>s</w:t>
      </w:r>
      <w:r w:rsidR="00076B2E" w:rsidRPr="000325DE">
        <w:t xml:space="preserve"> reported, “The Dow Jones Industrial Average dropped 1.4</w:t>
      </w:r>
      <w:r w:rsidR="003F277A" w:rsidRPr="000325DE">
        <w:t xml:space="preserve"> percent</w:t>
      </w:r>
      <w:r w:rsidR="00076B2E" w:rsidRPr="000325DE">
        <w:t xml:space="preserve"> this past week, snapping two weeks of solid gains</w:t>
      </w:r>
      <w:r w:rsidR="00AE3202" w:rsidRPr="000325DE">
        <w:t>…</w:t>
      </w:r>
      <w:r w:rsidR="00076B2E" w:rsidRPr="000325DE">
        <w:t>The S&amp;P 500 index dropped 1.2</w:t>
      </w:r>
      <w:r w:rsidR="003F277A" w:rsidRPr="000325DE">
        <w:t xml:space="preserve"> percent</w:t>
      </w:r>
      <w:r w:rsidR="00076B2E" w:rsidRPr="000325DE">
        <w:t xml:space="preserve"> for the week</w:t>
      </w:r>
      <w:r w:rsidR="003F277A" w:rsidRPr="000325DE">
        <w:t>…</w:t>
      </w:r>
      <w:r w:rsidR="00076B2E" w:rsidRPr="000325DE">
        <w:t>The Nasdaq Composite dropped 1.6</w:t>
      </w:r>
      <w:r w:rsidR="00BF50F5" w:rsidRPr="000325DE">
        <w:t xml:space="preserve"> percent</w:t>
      </w:r>
      <w:r w:rsidR="00076B2E" w:rsidRPr="000325DE">
        <w:t xml:space="preserve"> on the week</w:t>
      </w:r>
      <w:r w:rsidR="003F277A" w:rsidRPr="000325DE">
        <w:t>…</w:t>
      </w:r>
      <w:r w:rsidR="00076B2E" w:rsidRPr="000325DE">
        <w:t>”</w:t>
      </w:r>
    </w:p>
    <w:p w14:paraId="4E351D06" w14:textId="66A7499E" w:rsidR="00A14E23" w:rsidRPr="000325DE" w:rsidRDefault="00A14E23" w:rsidP="00DF5DFB">
      <w:pPr>
        <w:ind w:right="-36"/>
      </w:pPr>
    </w:p>
    <w:p w14:paraId="3AC01574" w14:textId="6F58142C" w:rsidR="00A14E23" w:rsidRPr="000325DE" w:rsidRDefault="00A14E23" w:rsidP="00DF5DFB">
      <w:pPr>
        <w:ind w:right="-36"/>
      </w:pPr>
      <w:r w:rsidRPr="000325DE">
        <w:t>The CBOE Volatility Index (VIX), known as Wall Street’s fear gauge, moved higher.</w:t>
      </w:r>
    </w:p>
    <w:p w14:paraId="321DFCFC" w14:textId="77777777" w:rsidR="002C0267" w:rsidRPr="000325DE" w:rsidRDefault="002C0267" w:rsidP="00DF5DFB">
      <w:pPr>
        <w:ind w:right="-36"/>
      </w:pPr>
    </w:p>
    <w:tbl>
      <w:tblPr>
        <w:tblW w:w="9135" w:type="dxa"/>
        <w:tblLayout w:type="fixed"/>
        <w:tblLook w:val="0000" w:firstRow="0" w:lastRow="0" w:firstColumn="0" w:lastColumn="0" w:noHBand="0" w:noVBand="0"/>
      </w:tblPr>
      <w:tblGrid>
        <w:gridCol w:w="3578"/>
        <w:gridCol w:w="1043"/>
        <w:gridCol w:w="887"/>
        <w:gridCol w:w="913"/>
        <w:gridCol w:w="864"/>
        <w:gridCol w:w="900"/>
        <w:gridCol w:w="950"/>
      </w:tblGrid>
      <w:tr w:rsidR="00F5154C" w:rsidRPr="000325DE" w14:paraId="42A9FA97" w14:textId="77777777" w:rsidTr="00AD0A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2FCF380" w:rsidR="00F5154C" w:rsidRPr="000325DE" w:rsidRDefault="00F5154C" w:rsidP="00DF5DFB">
            <w:pPr>
              <w:ind w:right="-36"/>
              <w:jc w:val="center"/>
              <w:rPr>
                <w:b/>
                <w:bCs/>
                <w:color w:val="000000" w:themeColor="text1"/>
                <w:sz w:val="20"/>
                <w:szCs w:val="20"/>
              </w:rPr>
            </w:pPr>
            <w:r w:rsidRPr="000325DE">
              <w:rPr>
                <w:color w:val="000000" w:themeColor="text1"/>
                <w:sz w:val="20"/>
                <w:szCs w:val="20"/>
              </w:rPr>
              <w:br w:type="page"/>
            </w:r>
            <w:r w:rsidR="00A80CE6" w:rsidRPr="000325DE">
              <w:rPr>
                <w:b/>
                <w:bCs/>
                <w:color w:val="000000" w:themeColor="text1"/>
                <w:sz w:val="20"/>
                <w:szCs w:val="20"/>
              </w:rPr>
              <w:t xml:space="preserve">Data as of </w:t>
            </w:r>
            <w:r w:rsidR="00D82874" w:rsidRPr="000325DE">
              <w:rPr>
                <w:b/>
                <w:bCs/>
                <w:color w:val="000000" w:themeColor="text1"/>
                <w:sz w:val="20"/>
                <w:szCs w:val="20"/>
              </w:rPr>
              <w:t>2</w:t>
            </w:r>
            <w:r w:rsidR="003D5BA6" w:rsidRPr="000325DE">
              <w:rPr>
                <w:b/>
                <w:bCs/>
                <w:color w:val="000000" w:themeColor="text1"/>
                <w:sz w:val="20"/>
                <w:szCs w:val="20"/>
              </w:rPr>
              <w:t>/</w:t>
            </w:r>
            <w:r w:rsidR="009A2E79" w:rsidRPr="000325DE">
              <w:rPr>
                <w:b/>
                <w:bCs/>
                <w:color w:val="000000" w:themeColor="text1"/>
                <w:sz w:val="20"/>
                <w:szCs w:val="20"/>
              </w:rPr>
              <w:t>21</w:t>
            </w:r>
            <w:r w:rsidR="00DB62F4" w:rsidRPr="000325DE">
              <w:rPr>
                <w:b/>
                <w:bCs/>
                <w:color w:val="000000" w:themeColor="text1"/>
                <w:sz w:val="20"/>
                <w:szCs w:val="20"/>
              </w:rPr>
              <w:t>/</w:t>
            </w:r>
            <w:r w:rsidR="00820172" w:rsidRPr="000325DE">
              <w:rPr>
                <w:b/>
                <w:bCs/>
                <w:color w:val="000000" w:themeColor="text1"/>
                <w:sz w:val="20"/>
                <w:szCs w:val="20"/>
              </w:rPr>
              <w:t>20</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0325DE" w:rsidRDefault="00F5154C" w:rsidP="00DF5DFB">
            <w:pPr>
              <w:ind w:right="-36"/>
              <w:jc w:val="center"/>
              <w:rPr>
                <w:b/>
                <w:bCs/>
                <w:color w:val="000000" w:themeColor="text1"/>
                <w:sz w:val="20"/>
                <w:szCs w:val="20"/>
              </w:rPr>
            </w:pPr>
            <w:r w:rsidRPr="000325DE">
              <w:rPr>
                <w:b/>
                <w:bCs/>
                <w:color w:val="000000" w:themeColor="text1"/>
                <w:sz w:val="20"/>
                <w:szCs w:val="20"/>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0325DE" w:rsidRDefault="00F5154C" w:rsidP="00DF5DFB">
            <w:pPr>
              <w:ind w:right="-36"/>
              <w:jc w:val="center"/>
              <w:rPr>
                <w:b/>
                <w:bCs/>
                <w:color w:val="000000" w:themeColor="text1"/>
                <w:sz w:val="20"/>
                <w:szCs w:val="20"/>
              </w:rPr>
            </w:pPr>
            <w:r w:rsidRPr="000325DE">
              <w:rPr>
                <w:b/>
                <w:bCs/>
                <w:color w:val="000000" w:themeColor="text1"/>
                <w:sz w:val="20"/>
                <w:szCs w:val="20"/>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0325DE" w:rsidRDefault="00F5154C" w:rsidP="00DF5DFB">
            <w:pPr>
              <w:ind w:right="-36"/>
              <w:jc w:val="center"/>
              <w:rPr>
                <w:b/>
                <w:bCs/>
                <w:color w:val="000000" w:themeColor="text1"/>
                <w:sz w:val="20"/>
                <w:szCs w:val="20"/>
              </w:rPr>
            </w:pPr>
            <w:r w:rsidRPr="000325DE">
              <w:rPr>
                <w:b/>
                <w:bCs/>
                <w:color w:val="000000" w:themeColor="text1"/>
                <w:sz w:val="20"/>
                <w:szCs w:val="20"/>
              </w:rPr>
              <w:t>1-Year</w:t>
            </w:r>
          </w:p>
        </w:tc>
        <w:tc>
          <w:tcPr>
            <w:tcW w:w="864"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0325DE" w:rsidRDefault="00F5154C" w:rsidP="00DF5DFB">
            <w:pPr>
              <w:ind w:right="-36"/>
              <w:jc w:val="center"/>
              <w:rPr>
                <w:b/>
                <w:bCs/>
                <w:color w:val="000000" w:themeColor="text1"/>
                <w:sz w:val="20"/>
                <w:szCs w:val="20"/>
              </w:rPr>
            </w:pPr>
            <w:r w:rsidRPr="000325DE">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0325DE" w:rsidRDefault="00F5154C" w:rsidP="00DF5DFB">
            <w:pPr>
              <w:ind w:right="-36"/>
              <w:jc w:val="center"/>
              <w:rPr>
                <w:b/>
                <w:bCs/>
                <w:color w:val="000000" w:themeColor="text1"/>
                <w:sz w:val="20"/>
                <w:szCs w:val="20"/>
              </w:rPr>
            </w:pPr>
            <w:r w:rsidRPr="000325DE">
              <w:rPr>
                <w:b/>
                <w:bCs/>
                <w:color w:val="000000" w:themeColor="text1"/>
                <w:sz w:val="20"/>
                <w:szCs w:val="20"/>
              </w:rPr>
              <w:t>5-Year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0325DE" w:rsidRDefault="00F5154C" w:rsidP="00DF5DFB">
            <w:pPr>
              <w:ind w:right="-36"/>
              <w:jc w:val="center"/>
              <w:rPr>
                <w:b/>
                <w:bCs/>
                <w:color w:val="000000" w:themeColor="text1"/>
                <w:sz w:val="20"/>
                <w:szCs w:val="20"/>
              </w:rPr>
            </w:pPr>
            <w:r w:rsidRPr="000325DE">
              <w:rPr>
                <w:b/>
                <w:bCs/>
                <w:color w:val="000000" w:themeColor="text1"/>
                <w:sz w:val="20"/>
                <w:szCs w:val="20"/>
              </w:rPr>
              <w:t>10-Year</w:t>
            </w:r>
          </w:p>
        </w:tc>
      </w:tr>
      <w:tr w:rsidR="00F5154C" w:rsidRPr="000325DE" w14:paraId="4F8954D1" w14:textId="77777777" w:rsidTr="00AD0A3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0325DE" w:rsidRDefault="00F5154C" w:rsidP="00DF5DFB">
            <w:pPr>
              <w:ind w:right="-36"/>
              <w:rPr>
                <w:sz w:val="20"/>
                <w:szCs w:val="20"/>
              </w:rPr>
            </w:pPr>
            <w:r w:rsidRPr="000325DE">
              <w:rPr>
                <w:sz w:val="20"/>
                <w:szCs w:val="20"/>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05236707" w:rsidR="00F5154C" w:rsidRPr="000325DE" w:rsidRDefault="00C51FC1" w:rsidP="00DF5DFB">
            <w:pPr>
              <w:ind w:right="-36"/>
              <w:jc w:val="center"/>
              <w:rPr>
                <w:sz w:val="20"/>
                <w:szCs w:val="20"/>
              </w:rPr>
            </w:pPr>
            <w:r w:rsidRPr="000325DE">
              <w:rPr>
                <w:sz w:val="20"/>
                <w:szCs w:val="20"/>
              </w:rPr>
              <w:t>-</w:t>
            </w:r>
            <w:r w:rsidR="00593E42" w:rsidRPr="000325DE">
              <w:rPr>
                <w:sz w:val="20"/>
                <w:szCs w:val="20"/>
              </w:rPr>
              <w:t>1.</w:t>
            </w:r>
            <w:r w:rsidRPr="000325DE">
              <w:rPr>
                <w:sz w:val="20"/>
                <w:szCs w:val="20"/>
              </w:rPr>
              <w:t>3</w:t>
            </w:r>
            <w:r w:rsidR="00F5154C" w:rsidRPr="000325DE">
              <w:rPr>
                <w:sz w:val="20"/>
                <w:szCs w:val="20"/>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37145B3A" w:rsidR="00F5154C" w:rsidRPr="000325DE" w:rsidRDefault="00C51FC1" w:rsidP="00DF5DFB">
            <w:pPr>
              <w:ind w:right="-36"/>
              <w:jc w:val="center"/>
              <w:rPr>
                <w:sz w:val="20"/>
                <w:szCs w:val="20"/>
              </w:rPr>
            </w:pPr>
            <w:r w:rsidRPr="000325DE">
              <w:rPr>
                <w:sz w:val="20"/>
                <w:szCs w:val="20"/>
              </w:rPr>
              <w:t>3.3</w:t>
            </w:r>
            <w:r w:rsidR="00F5154C" w:rsidRPr="000325DE">
              <w:rPr>
                <w:sz w:val="20"/>
                <w:szCs w:val="20"/>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5D3E4DE3" w:rsidR="00F5154C" w:rsidRPr="000325DE" w:rsidRDefault="00AD0A3E" w:rsidP="00DF5DFB">
            <w:pPr>
              <w:ind w:right="-36"/>
              <w:jc w:val="center"/>
              <w:rPr>
                <w:sz w:val="20"/>
                <w:szCs w:val="20"/>
              </w:rPr>
            </w:pPr>
            <w:r w:rsidRPr="000325DE">
              <w:rPr>
                <w:sz w:val="20"/>
                <w:szCs w:val="20"/>
              </w:rPr>
              <w:t>2</w:t>
            </w:r>
            <w:r w:rsidR="00C51FC1" w:rsidRPr="000325DE">
              <w:rPr>
                <w:sz w:val="20"/>
                <w:szCs w:val="20"/>
              </w:rPr>
              <w:t>0.3</w:t>
            </w:r>
            <w:r w:rsidR="00F5154C" w:rsidRPr="000325DE">
              <w:rPr>
                <w:sz w:val="20"/>
                <w:szCs w:val="20"/>
              </w:rPr>
              <w:t>%</w:t>
            </w:r>
          </w:p>
        </w:tc>
        <w:tc>
          <w:tcPr>
            <w:tcW w:w="864" w:type="dxa"/>
            <w:tcBorders>
              <w:top w:val="single" w:sz="4" w:space="0" w:color="auto"/>
              <w:left w:val="nil"/>
              <w:bottom w:val="single" w:sz="4" w:space="0" w:color="auto"/>
              <w:right w:val="single" w:sz="4" w:space="0" w:color="auto"/>
            </w:tcBorders>
            <w:shd w:val="clear" w:color="auto" w:fill="auto"/>
            <w:vAlign w:val="center"/>
          </w:tcPr>
          <w:p w14:paraId="0B503408" w14:textId="6CAD6D16" w:rsidR="00F5154C" w:rsidRPr="000325DE" w:rsidRDefault="00264CCF" w:rsidP="00DF5DFB">
            <w:pPr>
              <w:ind w:right="-36"/>
              <w:jc w:val="center"/>
              <w:rPr>
                <w:sz w:val="20"/>
                <w:szCs w:val="20"/>
              </w:rPr>
            </w:pPr>
            <w:r w:rsidRPr="000325DE">
              <w:rPr>
                <w:sz w:val="20"/>
                <w:szCs w:val="20"/>
              </w:rPr>
              <w:t>1</w:t>
            </w:r>
            <w:r w:rsidR="00C51FC1" w:rsidRPr="000325DE">
              <w:rPr>
                <w:sz w:val="20"/>
                <w:szCs w:val="20"/>
              </w:rPr>
              <w:t>2.2</w:t>
            </w:r>
            <w:r w:rsidR="00C2158B" w:rsidRPr="000325DE">
              <w:rPr>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233931B4" w:rsidR="00F5154C" w:rsidRPr="000325DE" w:rsidRDefault="00C51FC1" w:rsidP="00DF5DFB">
            <w:pPr>
              <w:ind w:right="-36"/>
              <w:jc w:val="center"/>
              <w:rPr>
                <w:sz w:val="20"/>
                <w:szCs w:val="20"/>
              </w:rPr>
            </w:pPr>
            <w:r w:rsidRPr="000325DE">
              <w:rPr>
                <w:sz w:val="20"/>
                <w:szCs w:val="20"/>
              </w:rPr>
              <w:t>9.6</w:t>
            </w:r>
            <w:r w:rsidR="00F5154C" w:rsidRPr="000325DE">
              <w:rPr>
                <w:sz w:val="20"/>
                <w:szCs w:val="20"/>
              </w:rPr>
              <w:t>%</w:t>
            </w:r>
          </w:p>
        </w:tc>
        <w:tc>
          <w:tcPr>
            <w:tcW w:w="950" w:type="dxa"/>
            <w:tcBorders>
              <w:top w:val="nil"/>
              <w:left w:val="single" w:sz="4" w:space="0" w:color="auto"/>
              <w:bottom w:val="single" w:sz="4" w:space="0" w:color="auto"/>
              <w:right w:val="single" w:sz="4" w:space="0" w:color="auto"/>
            </w:tcBorders>
            <w:shd w:val="clear" w:color="auto" w:fill="auto"/>
            <w:vAlign w:val="center"/>
          </w:tcPr>
          <w:p w14:paraId="62F0EB8C" w14:textId="508C7945" w:rsidR="00F5154C" w:rsidRPr="000325DE" w:rsidRDefault="00264CCF" w:rsidP="00DF5DFB">
            <w:pPr>
              <w:ind w:right="-36"/>
              <w:jc w:val="center"/>
              <w:rPr>
                <w:sz w:val="20"/>
                <w:szCs w:val="20"/>
              </w:rPr>
            </w:pPr>
            <w:r w:rsidRPr="000325DE">
              <w:rPr>
                <w:sz w:val="20"/>
                <w:szCs w:val="20"/>
              </w:rPr>
              <w:t>1</w:t>
            </w:r>
            <w:r w:rsidR="00593E42" w:rsidRPr="000325DE">
              <w:rPr>
                <w:sz w:val="20"/>
                <w:szCs w:val="20"/>
              </w:rPr>
              <w:t>1.</w:t>
            </w:r>
            <w:r w:rsidR="00C51FC1" w:rsidRPr="000325DE">
              <w:rPr>
                <w:sz w:val="20"/>
                <w:szCs w:val="20"/>
              </w:rPr>
              <w:t>7</w:t>
            </w:r>
            <w:r w:rsidR="00F5154C" w:rsidRPr="000325DE">
              <w:rPr>
                <w:sz w:val="20"/>
                <w:szCs w:val="20"/>
              </w:rPr>
              <w:t>%</w:t>
            </w:r>
          </w:p>
        </w:tc>
      </w:tr>
      <w:tr w:rsidR="00F5154C" w:rsidRPr="000325DE" w14:paraId="6D9312C9" w14:textId="77777777" w:rsidTr="00AD0A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0325DE" w:rsidRDefault="00F5154C" w:rsidP="00DF5DFB">
            <w:pPr>
              <w:ind w:right="-36"/>
              <w:rPr>
                <w:sz w:val="20"/>
                <w:szCs w:val="20"/>
              </w:rPr>
            </w:pPr>
            <w:r w:rsidRPr="000325DE">
              <w:rPr>
                <w:sz w:val="20"/>
                <w:szCs w:val="20"/>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0C19B2BF" w:rsidR="00F5154C" w:rsidRPr="000325DE" w:rsidRDefault="00C51FC1" w:rsidP="00DF5DFB">
            <w:pPr>
              <w:ind w:right="-36"/>
              <w:jc w:val="center"/>
              <w:rPr>
                <w:sz w:val="20"/>
                <w:szCs w:val="20"/>
              </w:rPr>
            </w:pPr>
            <w:r w:rsidRPr="000325DE">
              <w:rPr>
                <w:sz w:val="20"/>
                <w:szCs w:val="20"/>
              </w:rPr>
              <w:t>-1</w:t>
            </w:r>
            <w:r w:rsidR="00593E42" w:rsidRPr="000325DE">
              <w:rPr>
                <w:sz w:val="20"/>
                <w:szCs w:val="20"/>
              </w:rPr>
              <w:t>.4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16468E45" w:rsidR="00F5154C" w:rsidRPr="000325DE" w:rsidRDefault="002A5EA2" w:rsidP="00DF5DFB">
            <w:pPr>
              <w:ind w:right="-36"/>
              <w:jc w:val="center"/>
              <w:rPr>
                <w:sz w:val="20"/>
                <w:szCs w:val="20"/>
              </w:rPr>
            </w:pPr>
            <w:r w:rsidRPr="000325DE">
              <w:rPr>
                <w:sz w:val="20"/>
                <w:szCs w:val="20"/>
              </w:rPr>
              <w:t>-</w:t>
            </w:r>
            <w:r w:rsidR="00C51FC1" w:rsidRPr="000325DE">
              <w:rPr>
                <w:sz w:val="20"/>
                <w:szCs w:val="20"/>
              </w:rPr>
              <w:t>1.8</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35641B8D" w:rsidR="00F5154C" w:rsidRPr="000325DE" w:rsidRDefault="00C51FC1" w:rsidP="00DF5DFB">
            <w:pPr>
              <w:ind w:right="-36"/>
              <w:jc w:val="center"/>
              <w:rPr>
                <w:sz w:val="20"/>
                <w:szCs w:val="20"/>
              </w:rPr>
            </w:pPr>
            <w:r w:rsidRPr="000325DE">
              <w:rPr>
                <w:sz w:val="20"/>
                <w:szCs w:val="20"/>
              </w:rPr>
              <w:t>6.6</w:t>
            </w:r>
          </w:p>
        </w:tc>
        <w:tc>
          <w:tcPr>
            <w:tcW w:w="864" w:type="dxa"/>
            <w:tcBorders>
              <w:top w:val="single" w:sz="4" w:space="0" w:color="auto"/>
              <w:left w:val="nil"/>
              <w:bottom w:val="single" w:sz="4" w:space="0" w:color="auto"/>
              <w:right w:val="single" w:sz="4" w:space="0" w:color="auto"/>
            </w:tcBorders>
            <w:shd w:val="clear" w:color="auto" w:fill="auto"/>
            <w:vAlign w:val="center"/>
          </w:tcPr>
          <w:p w14:paraId="5891CA5D" w14:textId="6293BF8D" w:rsidR="00F5154C" w:rsidRPr="000325DE" w:rsidRDefault="006415B7" w:rsidP="00DF5DFB">
            <w:pPr>
              <w:ind w:right="-36"/>
              <w:jc w:val="center"/>
              <w:rPr>
                <w:sz w:val="20"/>
                <w:szCs w:val="20"/>
              </w:rPr>
            </w:pPr>
            <w:r w:rsidRPr="000325DE">
              <w:rPr>
                <w:sz w:val="20"/>
                <w:szCs w:val="20"/>
              </w:rPr>
              <w:t>4.6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010E6B0D" w:rsidR="00F5154C" w:rsidRPr="000325DE" w:rsidRDefault="002A5EA2" w:rsidP="00DF5DFB">
            <w:pPr>
              <w:ind w:right="-36"/>
              <w:jc w:val="center"/>
              <w:rPr>
                <w:sz w:val="20"/>
                <w:szCs w:val="20"/>
              </w:rPr>
            </w:pPr>
            <w:r w:rsidRPr="000325DE">
              <w:rPr>
                <w:sz w:val="20"/>
                <w:szCs w:val="20"/>
              </w:rPr>
              <w:t>2.</w:t>
            </w:r>
            <w:r w:rsidR="006415B7" w:rsidRPr="000325DE">
              <w:rPr>
                <w:sz w:val="20"/>
                <w:szCs w:val="20"/>
              </w:rP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AE5C0FE" w:rsidR="00F5154C" w:rsidRPr="000325DE" w:rsidRDefault="00AD0A3E" w:rsidP="00DF5DFB">
            <w:pPr>
              <w:ind w:right="-36"/>
              <w:jc w:val="center"/>
              <w:rPr>
                <w:sz w:val="20"/>
                <w:szCs w:val="20"/>
              </w:rPr>
            </w:pPr>
            <w:r w:rsidRPr="000325DE">
              <w:rPr>
                <w:sz w:val="20"/>
                <w:szCs w:val="20"/>
              </w:rPr>
              <w:t>3.</w:t>
            </w:r>
            <w:r w:rsidR="006415B7" w:rsidRPr="000325DE">
              <w:rPr>
                <w:sz w:val="20"/>
                <w:szCs w:val="20"/>
              </w:rPr>
              <w:t>0</w:t>
            </w:r>
          </w:p>
        </w:tc>
      </w:tr>
      <w:tr w:rsidR="00F5154C" w:rsidRPr="000325DE" w14:paraId="22F6A5C7" w14:textId="77777777" w:rsidTr="00AD0A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0325DE" w:rsidRDefault="00F5154C" w:rsidP="00DF5DFB">
            <w:pPr>
              <w:ind w:right="-36"/>
              <w:rPr>
                <w:sz w:val="20"/>
                <w:szCs w:val="20"/>
              </w:rPr>
            </w:pPr>
            <w:r w:rsidRPr="000325DE">
              <w:rPr>
                <w:sz w:val="20"/>
                <w:szCs w:val="20"/>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2D06040C" w:rsidR="00F5154C" w:rsidRPr="000325DE" w:rsidRDefault="006415B7" w:rsidP="00DF5DFB">
            <w:pPr>
              <w:ind w:right="-36"/>
              <w:jc w:val="center"/>
              <w:rPr>
                <w:sz w:val="20"/>
                <w:szCs w:val="20"/>
              </w:rPr>
            </w:pPr>
            <w:r w:rsidRPr="000325DE">
              <w:rPr>
                <w:sz w:val="20"/>
                <w:szCs w:val="20"/>
              </w:rPr>
              <w:t>1.5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0325DE" w:rsidRDefault="00F5154C" w:rsidP="00DF5DFB">
            <w:pPr>
              <w:ind w:right="-36"/>
              <w:jc w:val="center"/>
              <w:rPr>
                <w:sz w:val="20"/>
                <w:szCs w:val="20"/>
              </w:rPr>
            </w:pPr>
            <w:r w:rsidRPr="000325DE">
              <w:rPr>
                <w:sz w:val="20"/>
                <w:szCs w:val="20"/>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5565E0D5" w:rsidR="00F5154C" w:rsidRPr="000325DE" w:rsidRDefault="00BC5863" w:rsidP="00DF5DFB">
            <w:pPr>
              <w:ind w:right="-36"/>
              <w:jc w:val="center"/>
              <w:rPr>
                <w:sz w:val="20"/>
                <w:szCs w:val="20"/>
              </w:rPr>
            </w:pPr>
            <w:r w:rsidRPr="000325DE">
              <w:rPr>
                <w:sz w:val="20"/>
                <w:szCs w:val="20"/>
              </w:rPr>
              <w:t>2.</w:t>
            </w:r>
            <w:r w:rsidR="00AD0A3E" w:rsidRPr="000325DE">
              <w:rPr>
                <w:sz w:val="20"/>
                <w:szCs w:val="20"/>
              </w:rPr>
              <w:t>7</w:t>
            </w:r>
          </w:p>
        </w:tc>
        <w:tc>
          <w:tcPr>
            <w:tcW w:w="864" w:type="dxa"/>
            <w:tcBorders>
              <w:top w:val="single" w:sz="4" w:space="0" w:color="auto"/>
              <w:left w:val="nil"/>
              <w:bottom w:val="single" w:sz="4" w:space="0" w:color="auto"/>
              <w:right w:val="single" w:sz="4" w:space="0" w:color="auto"/>
            </w:tcBorders>
            <w:shd w:val="clear" w:color="auto" w:fill="auto"/>
            <w:vAlign w:val="center"/>
          </w:tcPr>
          <w:p w14:paraId="3EE1119B" w14:textId="5F2E70EF" w:rsidR="00F5154C" w:rsidRPr="000325DE" w:rsidRDefault="00BB3FCD" w:rsidP="00DF5DFB">
            <w:pPr>
              <w:ind w:right="-36"/>
              <w:jc w:val="center"/>
              <w:rPr>
                <w:sz w:val="20"/>
                <w:szCs w:val="20"/>
              </w:rPr>
            </w:pPr>
            <w:r w:rsidRPr="000325DE">
              <w:rPr>
                <w:sz w:val="20"/>
                <w:szCs w:val="20"/>
              </w:rPr>
              <w:t>2.</w:t>
            </w:r>
            <w:r w:rsidR="006415B7" w:rsidRPr="000325DE">
              <w:rPr>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4DF5E6B9" w:rsidR="00F5154C" w:rsidRPr="000325DE" w:rsidRDefault="00AD0A3E" w:rsidP="00DF5DFB">
            <w:pPr>
              <w:ind w:right="-36"/>
              <w:jc w:val="center"/>
              <w:rPr>
                <w:sz w:val="20"/>
                <w:szCs w:val="20"/>
              </w:rPr>
            </w:pPr>
            <w:r w:rsidRPr="000325DE">
              <w:rPr>
                <w:sz w:val="20"/>
                <w:szCs w:val="20"/>
              </w:rPr>
              <w:t>2.</w:t>
            </w:r>
            <w:r w:rsidR="006415B7" w:rsidRPr="000325DE">
              <w:rPr>
                <w:sz w:val="20"/>
                <w:szCs w:val="20"/>
              </w:rPr>
              <w:t>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5CA556B0" w:rsidR="00F5154C" w:rsidRPr="000325DE" w:rsidRDefault="009C42E8" w:rsidP="00DF5DFB">
            <w:pPr>
              <w:ind w:right="-36"/>
              <w:jc w:val="center"/>
              <w:rPr>
                <w:sz w:val="20"/>
                <w:szCs w:val="20"/>
              </w:rPr>
            </w:pPr>
            <w:r w:rsidRPr="000325DE">
              <w:rPr>
                <w:sz w:val="20"/>
                <w:szCs w:val="20"/>
              </w:rPr>
              <w:t>3.</w:t>
            </w:r>
            <w:r w:rsidR="006415B7" w:rsidRPr="000325DE">
              <w:rPr>
                <w:sz w:val="20"/>
                <w:szCs w:val="20"/>
              </w:rPr>
              <w:t>8</w:t>
            </w:r>
          </w:p>
        </w:tc>
      </w:tr>
      <w:tr w:rsidR="00F5154C" w:rsidRPr="000325DE" w14:paraId="3C19B3EB" w14:textId="77777777" w:rsidTr="00AD0A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0325DE" w:rsidRDefault="00F5154C" w:rsidP="00DF5DFB">
            <w:pPr>
              <w:ind w:right="-36"/>
              <w:rPr>
                <w:sz w:val="20"/>
                <w:szCs w:val="20"/>
              </w:rPr>
            </w:pPr>
            <w:r w:rsidRPr="000325DE">
              <w:rPr>
                <w:sz w:val="20"/>
                <w:szCs w:val="20"/>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2FF5A9B1" w:rsidR="00F5154C" w:rsidRPr="000325DE" w:rsidRDefault="006415B7" w:rsidP="00DF5DFB">
            <w:pPr>
              <w:ind w:right="-36"/>
              <w:jc w:val="center"/>
              <w:rPr>
                <w:sz w:val="20"/>
                <w:szCs w:val="20"/>
              </w:rPr>
            </w:pPr>
            <w:r w:rsidRPr="000325DE">
              <w:rPr>
                <w:sz w:val="20"/>
                <w:szCs w:val="20"/>
              </w:rPr>
              <w:t>3.9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E2E56D4" w:rsidR="00F5154C" w:rsidRPr="000325DE" w:rsidRDefault="006415B7" w:rsidP="00DF5DFB">
            <w:pPr>
              <w:ind w:right="-36"/>
              <w:jc w:val="center"/>
              <w:rPr>
                <w:sz w:val="20"/>
                <w:szCs w:val="20"/>
              </w:rPr>
            </w:pPr>
            <w:r w:rsidRPr="000325DE">
              <w:rPr>
                <w:sz w:val="20"/>
                <w:szCs w:val="20"/>
              </w:rPr>
              <w:t>7.9</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3DFD3D6E" w:rsidR="00F5154C" w:rsidRPr="000325DE" w:rsidRDefault="00AD0A3E" w:rsidP="00DF5DFB">
            <w:pPr>
              <w:ind w:right="-36"/>
              <w:jc w:val="center"/>
              <w:rPr>
                <w:sz w:val="20"/>
                <w:szCs w:val="20"/>
              </w:rPr>
            </w:pPr>
            <w:r w:rsidRPr="000325DE">
              <w:rPr>
                <w:sz w:val="20"/>
                <w:szCs w:val="20"/>
              </w:rPr>
              <w:t>2</w:t>
            </w:r>
            <w:r w:rsidR="006415B7" w:rsidRPr="000325DE">
              <w:rPr>
                <w:sz w:val="20"/>
                <w:szCs w:val="20"/>
              </w:rPr>
              <w:t>3.4</w:t>
            </w:r>
          </w:p>
        </w:tc>
        <w:tc>
          <w:tcPr>
            <w:tcW w:w="864" w:type="dxa"/>
            <w:tcBorders>
              <w:top w:val="single" w:sz="4" w:space="0" w:color="auto"/>
              <w:left w:val="nil"/>
              <w:bottom w:val="single" w:sz="4" w:space="0" w:color="auto"/>
              <w:right w:val="single" w:sz="4" w:space="0" w:color="auto"/>
            </w:tcBorders>
            <w:shd w:val="clear" w:color="auto" w:fill="auto"/>
            <w:vAlign w:val="center"/>
          </w:tcPr>
          <w:p w14:paraId="367EDA84" w14:textId="6A42D91B" w:rsidR="00F5154C" w:rsidRPr="000325DE" w:rsidRDefault="006415B7" w:rsidP="00DF5DFB">
            <w:pPr>
              <w:ind w:right="-36"/>
              <w:jc w:val="center"/>
              <w:rPr>
                <w:sz w:val="20"/>
                <w:szCs w:val="20"/>
              </w:rPr>
            </w:pPr>
            <w:r w:rsidRPr="000325DE">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3348B09" w:rsidR="00F5154C" w:rsidRPr="000325DE" w:rsidRDefault="006415B7" w:rsidP="00DF5DFB">
            <w:pPr>
              <w:ind w:right="-36"/>
              <w:jc w:val="center"/>
              <w:rPr>
                <w:sz w:val="20"/>
                <w:szCs w:val="20"/>
              </w:rPr>
            </w:pPr>
            <w:r w:rsidRPr="000325DE">
              <w:rPr>
                <w:sz w:val="20"/>
                <w:szCs w:val="20"/>
              </w:rPr>
              <w:t>6.4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612F459" w:rsidR="00F5154C" w:rsidRPr="000325DE" w:rsidRDefault="006415B7" w:rsidP="00DF5DFB">
            <w:pPr>
              <w:ind w:right="-36"/>
              <w:jc w:val="center"/>
              <w:rPr>
                <w:sz w:val="20"/>
                <w:szCs w:val="20"/>
              </w:rPr>
            </w:pPr>
            <w:r w:rsidRPr="000325DE">
              <w:rPr>
                <w:sz w:val="20"/>
                <w:szCs w:val="20"/>
              </w:rPr>
              <w:t>4.0</w:t>
            </w:r>
          </w:p>
        </w:tc>
      </w:tr>
      <w:tr w:rsidR="00F5154C" w:rsidRPr="000325DE" w14:paraId="15DF82AD" w14:textId="77777777" w:rsidTr="00AD0A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0325DE" w:rsidRDefault="00F5154C" w:rsidP="00DF5DFB">
            <w:pPr>
              <w:ind w:right="-36"/>
              <w:rPr>
                <w:sz w:val="20"/>
                <w:szCs w:val="20"/>
              </w:rPr>
            </w:pPr>
            <w:r w:rsidRPr="000325DE">
              <w:rPr>
                <w:sz w:val="20"/>
                <w:szCs w:val="20"/>
              </w:rPr>
              <w:lastRenderedPageBreak/>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456C7BA0" w:rsidR="00F5154C" w:rsidRPr="000325DE" w:rsidRDefault="006415B7" w:rsidP="00DF5DFB">
            <w:pPr>
              <w:ind w:right="-36"/>
              <w:jc w:val="center"/>
              <w:rPr>
                <w:sz w:val="20"/>
                <w:szCs w:val="20"/>
              </w:rPr>
            </w:pPr>
            <w:r w:rsidRPr="000325DE">
              <w:rPr>
                <w:sz w:val="20"/>
                <w:szCs w:val="20"/>
              </w:rPr>
              <w:t>1.2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1454244" w:rsidR="00F5154C" w:rsidRPr="000325DE" w:rsidRDefault="002D64F9" w:rsidP="00DF5DFB">
            <w:pPr>
              <w:ind w:right="-36"/>
              <w:jc w:val="center"/>
              <w:rPr>
                <w:sz w:val="20"/>
                <w:szCs w:val="20"/>
              </w:rPr>
            </w:pPr>
            <w:r w:rsidRPr="000325DE">
              <w:rPr>
                <w:sz w:val="20"/>
                <w:szCs w:val="20"/>
              </w:rPr>
              <w:t>-</w:t>
            </w:r>
            <w:r w:rsidR="006415B7" w:rsidRPr="000325DE">
              <w:rPr>
                <w:sz w:val="20"/>
                <w:szCs w:val="20"/>
              </w:rPr>
              <w:t>5.7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423B9A76" w:rsidR="00F5154C" w:rsidRPr="000325DE" w:rsidRDefault="001D04EF" w:rsidP="00DF5DFB">
            <w:pPr>
              <w:ind w:right="-36"/>
              <w:jc w:val="center"/>
              <w:rPr>
                <w:sz w:val="20"/>
                <w:szCs w:val="20"/>
              </w:rPr>
            </w:pPr>
            <w:r w:rsidRPr="000325DE">
              <w:rPr>
                <w:sz w:val="20"/>
                <w:szCs w:val="20"/>
              </w:rPr>
              <w:t>-</w:t>
            </w:r>
            <w:r w:rsidR="006415B7" w:rsidRPr="000325DE">
              <w:rPr>
                <w:sz w:val="20"/>
                <w:szCs w:val="20"/>
              </w:rPr>
              <w:t>6.8</w:t>
            </w:r>
          </w:p>
        </w:tc>
        <w:tc>
          <w:tcPr>
            <w:tcW w:w="864" w:type="dxa"/>
            <w:tcBorders>
              <w:top w:val="single" w:sz="4" w:space="0" w:color="auto"/>
              <w:left w:val="nil"/>
              <w:bottom w:val="single" w:sz="4" w:space="0" w:color="auto"/>
              <w:right w:val="single" w:sz="4" w:space="0" w:color="auto"/>
            </w:tcBorders>
            <w:shd w:val="clear" w:color="auto" w:fill="auto"/>
            <w:vAlign w:val="center"/>
          </w:tcPr>
          <w:p w14:paraId="274F5F9A" w14:textId="64CCFA54" w:rsidR="00F5154C" w:rsidRPr="000325DE" w:rsidRDefault="009F11D1" w:rsidP="00DF5DFB">
            <w:pPr>
              <w:ind w:right="-36"/>
              <w:jc w:val="center"/>
              <w:rPr>
                <w:sz w:val="20"/>
                <w:szCs w:val="20"/>
              </w:rPr>
            </w:pPr>
            <w:r w:rsidRPr="000325DE">
              <w:rPr>
                <w:sz w:val="20"/>
                <w:szCs w:val="20"/>
              </w:rPr>
              <w:t>-</w:t>
            </w:r>
            <w:r w:rsidR="006415B7" w:rsidRPr="000325DE">
              <w:rPr>
                <w:sz w:val="20"/>
                <w:szCs w:val="20"/>
              </w:rPr>
              <w:t>4.6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BAAA6B3" w:rsidR="00F5154C" w:rsidRPr="000325DE" w:rsidRDefault="008333CF" w:rsidP="00DF5DFB">
            <w:pPr>
              <w:ind w:right="-36"/>
              <w:jc w:val="center"/>
              <w:rPr>
                <w:sz w:val="20"/>
                <w:szCs w:val="20"/>
              </w:rPr>
            </w:pPr>
            <w:r w:rsidRPr="000325DE">
              <w:rPr>
                <w:sz w:val="20"/>
                <w:szCs w:val="20"/>
              </w:rPr>
              <w:t>-</w:t>
            </w:r>
            <w:r w:rsidR="006415B7" w:rsidRPr="000325DE">
              <w:rPr>
                <w:sz w:val="20"/>
                <w:szCs w:val="20"/>
              </w:rPr>
              <w:t>5.</w:t>
            </w:r>
            <w:r w:rsidR="00593E42" w:rsidRPr="000325DE">
              <w:rPr>
                <w:sz w:val="20"/>
                <w:szCs w:val="20"/>
              </w:rPr>
              <w:t>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665A457D" w:rsidR="00F5154C" w:rsidRPr="000325DE" w:rsidRDefault="008F0235" w:rsidP="00DF5DFB">
            <w:pPr>
              <w:ind w:right="-36"/>
              <w:jc w:val="center"/>
              <w:rPr>
                <w:sz w:val="20"/>
                <w:szCs w:val="20"/>
              </w:rPr>
            </w:pPr>
            <w:r w:rsidRPr="000325DE">
              <w:rPr>
                <w:sz w:val="20"/>
                <w:szCs w:val="20"/>
              </w:rPr>
              <w:t>-</w:t>
            </w:r>
            <w:r w:rsidR="00ED015C" w:rsidRPr="000325DE">
              <w:rPr>
                <w:sz w:val="20"/>
                <w:szCs w:val="20"/>
              </w:rPr>
              <w:t>5.</w:t>
            </w:r>
            <w:r w:rsidR="006415B7" w:rsidRPr="000325DE">
              <w:rPr>
                <w:sz w:val="20"/>
                <w:szCs w:val="20"/>
              </w:rPr>
              <w:t>5</w:t>
            </w:r>
          </w:p>
        </w:tc>
      </w:tr>
    </w:tbl>
    <w:p w14:paraId="5E61298C" w14:textId="3BDB6DF9" w:rsidR="00B41B8C" w:rsidRPr="000325DE" w:rsidRDefault="00B41B8C" w:rsidP="00DF5DFB">
      <w:pPr>
        <w:ind w:right="-36"/>
        <w:rPr>
          <w:sz w:val="16"/>
        </w:rPr>
      </w:pPr>
      <w:r w:rsidRPr="000325DE">
        <w:rPr>
          <w:sz w:val="16"/>
        </w:rPr>
        <w:t xml:space="preserve">S&amp;P 500, </w:t>
      </w:r>
      <w:r w:rsidR="006063C9" w:rsidRPr="000325DE">
        <w:rPr>
          <w:sz w:val="16"/>
        </w:rPr>
        <w:t xml:space="preserve">Dow Jones Global ex-US, </w:t>
      </w:r>
      <w:r w:rsidRPr="000325DE">
        <w:rPr>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0325DE">
        <w:rPr>
          <w:sz w:val="16"/>
        </w:rPr>
        <w:t xml:space="preserve"> </w:t>
      </w:r>
    </w:p>
    <w:p w14:paraId="5083B7E6" w14:textId="44B231E3" w:rsidR="00B41B8C" w:rsidRPr="000325DE" w:rsidRDefault="00B41B8C" w:rsidP="00DF5DFB">
      <w:pPr>
        <w:ind w:right="-36"/>
        <w:rPr>
          <w:sz w:val="16"/>
        </w:rPr>
      </w:pPr>
      <w:r w:rsidRPr="000325DE">
        <w:rPr>
          <w:sz w:val="16"/>
        </w:rPr>
        <w:t xml:space="preserve">Sources: Yahoo! Finance, </w:t>
      </w:r>
      <w:r w:rsidR="00CF0FAD" w:rsidRPr="000325DE">
        <w:rPr>
          <w:sz w:val="16"/>
        </w:rPr>
        <w:t>MarketWatch</w:t>
      </w:r>
      <w:r w:rsidRPr="000325DE">
        <w:rPr>
          <w:sz w:val="16"/>
        </w:rPr>
        <w:t>, djindexes.com, London Bullion Market Association.</w:t>
      </w:r>
    </w:p>
    <w:p w14:paraId="502EFC39" w14:textId="19AC0F5F" w:rsidR="003646AE" w:rsidRPr="000325DE" w:rsidRDefault="00B41B8C" w:rsidP="00DF5DFB">
      <w:pPr>
        <w:ind w:right="-36"/>
        <w:rPr>
          <w:sz w:val="16"/>
        </w:rPr>
      </w:pPr>
      <w:r w:rsidRPr="000325DE">
        <w:rPr>
          <w:sz w:val="16"/>
        </w:rPr>
        <w:t>Past performance is no guarantee of future results. Indices are unmanaged and cannot be invested into directly. N/A means not applicable.</w:t>
      </w:r>
    </w:p>
    <w:p w14:paraId="77E67234" w14:textId="77777777" w:rsidR="00F228CB" w:rsidRPr="000325DE" w:rsidRDefault="00F228CB" w:rsidP="00DF5DFB">
      <w:pPr>
        <w:ind w:right="-36"/>
      </w:pPr>
    </w:p>
    <w:p w14:paraId="5956427A" w14:textId="4929A630" w:rsidR="00F854FC" w:rsidRPr="000325DE" w:rsidRDefault="00F228CB" w:rsidP="00DF5DFB">
      <w:pPr>
        <w:ind w:right="-36"/>
        <w:rPr>
          <w:color w:val="000000" w:themeColor="text1"/>
        </w:rPr>
      </w:pPr>
      <w:r w:rsidRPr="000325DE">
        <w:rPr>
          <w:b/>
          <w:caps/>
          <w:color w:val="35DB3F"/>
        </w:rPr>
        <w:t xml:space="preserve">some people must </w:t>
      </w:r>
      <w:r w:rsidR="00F44069" w:rsidRPr="000325DE">
        <w:rPr>
          <w:b/>
          <w:caps/>
          <w:color w:val="35DB3F"/>
        </w:rPr>
        <w:t xml:space="preserve">still </w:t>
      </w:r>
      <w:r w:rsidRPr="000325DE">
        <w:rPr>
          <w:b/>
          <w:caps/>
          <w:color w:val="35DB3F"/>
        </w:rPr>
        <w:t>take required minimum distributions at 70½.</w:t>
      </w:r>
      <w:r w:rsidR="002D3893" w:rsidRPr="000325DE">
        <w:rPr>
          <w:color w:val="000000" w:themeColor="text1"/>
        </w:rPr>
        <w:t xml:space="preserve"> </w:t>
      </w:r>
      <w:r w:rsidRPr="000325DE">
        <w:rPr>
          <w:color w:val="000000" w:themeColor="text1"/>
        </w:rPr>
        <w:t>The Setting Every Community Up for Retirement Enhancement (SECURE) Act was signed into law late in 2019. One of its provisions changed the rules for required minimum distributions (RMDs)</w:t>
      </w:r>
      <w:r w:rsidR="00E05CB8" w:rsidRPr="000325DE">
        <w:rPr>
          <w:color w:val="000000" w:themeColor="text1"/>
        </w:rPr>
        <w:t>.</w:t>
      </w:r>
    </w:p>
    <w:p w14:paraId="2A01131B" w14:textId="77777777" w:rsidR="00F854FC" w:rsidRPr="000325DE" w:rsidRDefault="00F854FC" w:rsidP="00DF5DFB">
      <w:pPr>
        <w:ind w:right="-36"/>
        <w:rPr>
          <w:color w:val="000000" w:themeColor="text1"/>
        </w:rPr>
      </w:pPr>
    </w:p>
    <w:p w14:paraId="55D81793" w14:textId="6DD5D28F" w:rsidR="00251496" w:rsidRPr="000325DE" w:rsidRDefault="00FA0ECA" w:rsidP="00DF5DFB">
      <w:pPr>
        <w:ind w:right="-36"/>
        <w:rPr>
          <w:color w:val="000000" w:themeColor="text1"/>
        </w:rPr>
      </w:pPr>
      <w:r w:rsidRPr="000325DE">
        <w:rPr>
          <w:color w:val="000000" w:themeColor="text1"/>
        </w:rPr>
        <w:t>RMDs are</w:t>
      </w:r>
      <w:r w:rsidR="00E05CB8" w:rsidRPr="000325DE">
        <w:rPr>
          <w:color w:val="000000" w:themeColor="text1"/>
        </w:rPr>
        <w:t xml:space="preserve"> the amount</w:t>
      </w:r>
      <w:r w:rsidRPr="000325DE">
        <w:rPr>
          <w:color w:val="000000" w:themeColor="text1"/>
        </w:rPr>
        <w:t>s</w:t>
      </w:r>
      <w:r w:rsidR="00E05CB8" w:rsidRPr="000325DE">
        <w:rPr>
          <w:color w:val="000000" w:themeColor="text1"/>
        </w:rPr>
        <w:t xml:space="preserve"> owners of IRAs, 401(k)s, and other </w:t>
      </w:r>
      <w:r w:rsidR="00535C9A" w:rsidRPr="000325DE">
        <w:rPr>
          <w:color w:val="000000" w:themeColor="text1"/>
        </w:rPr>
        <w:t>tax-advantaged</w:t>
      </w:r>
      <w:r w:rsidR="00E05CB8" w:rsidRPr="000325DE">
        <w:rPr>
          <w:color w:val="000000" w:themeColor="text1"/>
        </w:rPr>
        <w:t xml:space="preserve"> retirement plan accounts must withdraw </w:t>
      </w:r>
      <w:r w:rsidRPr="000325DE">
        <w:rPr>
          <w:color w:val="000000" w:themeColor="text1"/>
        </w:rPr>
        <w:t xml:space="preserve">from those accounts </w:t>
      </w:r>
      <w:r w:rsidR="00535C9A" w:rsidRPr="000325DE">
        <w:rPr>
          <w:color w:val="000000" w:themeColor="text1"/>
        </w:rPr>
        <w:t xml:space="preserve">every year </w:t>
      </w:r>
      <w:r w:rsidR="00E05CB8" w:rsidRPr="000325DE">
        <w:rPr>
          <w:color w:val="000000" w:themeColor="text1"/>
        </w:rPr>
        <w:t>to avoid tax penalt</w:t>
      </w:r>
      <w:r w:rsidR="00F854FC" w:rsidRPr="000325DE">
        <w:rPr>
          <w:color w:val="000000" w:themeColor="text1"/>
        </w:rPr>
        <w:t>ies</w:t>
      </w:r>
      <w:r w:rsidR="00E05CB8" w:rsidRPr="000325DE">
        <w:rPr>
          <w:color w:val="000000" w:themeColor="text1"/>
        </w:rPr>
        <w:t>. In some cases, retirees take more than the required minimum amount</w:t>
      </w:r>
      <w:r w:rsidRPr="000325DE">
        <w:rPr>
          <w:color w:val="000000" w:themeColor="text1"/>
        </w:rPr>
        <w:t>, especially</w:t>
      </w:r>
      <w:r w:rsidR="00E05CB8" w:rsidRPr="000325DE">
        <w:rPr>
          <w:color w:val="000000" w:themeColor="text1"/>
        </w:rPr>
        <w:t xml:space="preserve"> when they are using the funds for income.</w:t>
      </w:r>
    </w:p>
    <w:p w14:paraId="5EE74648" w14:textId="77777777" w:rsidR="00F228CB" w:rsidRPr="000325DE" w:rsidRDefault="00F228CB" w:rsidP="00DF5DFB">
      <w:pPr>
        <w:ind w:right="-36"/>
        <w:rPr>
          <w:color w:val="000000" w:themeColor="text1"/>
        </w:rPr>
      </w:pPr>
    </w:p>
    <w:p w14:paraId="0328431F" w14:textId="7BDA571C" w:rsidR="00B84E07" w:rsidRPr="000325DE" w:rsidRDefault="00F228CB" w:rsidP="00DF5DFB">
      <w:pPr>
        <w:ind w:right="-36"/>
        <w:rPr>
          <w:color w:val="000000" w:themeColor="text1"/>
        </w:rPr>
      </w:pPr>
      <w:r w:rsidRPr="000325DE">
        <w:rPr>
          <w:color w:val="000000" w:themeColor="text1"/>
        </w:rPr>
        <w:t xml:space="preserve">Prior to passage of the SECURE Act, </w:t>
      </w:r>
      <w:r w:rsidR="00251496" w:rsidRPr="000325DE">
        <w:rPr>
          <w:color w:val="000000" w:themeColor="text1"/>
        </w:rPr>
        <w:t>Americans</w:t>
      </w:r>
      <w:r w:rsidRPr="000325DE">
        <w:rPr>
          <w:color w:val="000000" w:themeColor="text1"/>
        </w:rPr>
        <w:t xml:space="preserve"> were required to take RMDs </w:t>
      </w:r>
      <w:r w:rsidR="00B61F3E" w:rsidRPr="000325DE">
        <w:rPr>
          <w:color w:val="000000" w:themeColor="text1"/>
        </w:rPr>
        <w:t>in</w:t>
      </w:r>
      <w:r w:rsidRPr="000325DE">
        <w:rPr>
          <w:color w:val="000000" w:themeColor="text1"/>
        </w:rPr>
        <w:t xml:space="preserve"> the year they reached age 70</w:t>
      </w:r>
      <w:r w:rsidR="00702711" w:rsidRPr="000325DE">
        <w:rPr>
          <w:color w:val="000000" w:themeColor="text1"/>
        </w:rPr>
        <w:t>½.</w:t>
      </w:r>
      <w:r w:rsidR="00B61F3E" w:rsidRPr="000325DE">
        <w:rPr>
          <w:color w:val="000000" w:themeColor="text1"/>
        </w:rPr>
        <w:t xml:space="preserve"> </w:t>
      </w:r>
      <w:r w:rsidR="00114A9D" w:rsidRPr="000325DE">
        <w:rPr>
          <w:color w:val="000000" w:themeColor="text1"/>
        </w:rPr>
        <w:t>This</w:t>
      </w:r>
      <w:r w:rsidR="00535C9A" w:rsidRPr="000325DE">
        <w:rPr>
          <w:color w:val="000000" w:themeColor="text1"/>
        </w:rPr>
        <w:t xml:space="preserve"> </w:t>
      </w:r>
      <w:r w:rsidR="00BA4C7F" w:rsidRPr="000325DE">
        <w:rPr>
          <w:color w:val="000000" w:themeColor="text1"/>
        </w:rPr>
        <w:t>rule continues to apply to anyone who reached age 70½ prior to 2020.</w:t>
      </w:r>
      <w:r w:rsidR="00114A9D" w:rsidRPr="000325DE">
        <w:rPr>
          <w:color w:val="000000" w:themeColor="text1"/>
        </w:rPr>
        <w:t xml:space="preserve"> The Internal Revenue Service (IRS) defines age 70½ this way: The date that is six calendar months after your 70th birthday.</w:t>
      </w:r>
    </w:p>
    <w:p w14:paraId="3482B85F" w14:textId="77777777" w:rsidR="00B84E07" w:rsidRPr="000325DE" w:rsidRDefault="00B84E07" w:rsidP="00DF5DFB">
      <w:pPr>
        <w:ind w:right="-36"/>
        <w:rPr>
          <w:color w:val="000000" w:themeColor="text1"/>
        </w:rPr>
      </w:pPr>
    </w:p>
    <w:p w14:paraId="17BAC84E" w14:textId="588BA81D" w:rsidR="00535C9A" w:rsidRPr="000325DE" w:rsidRDefault="00535C9A" w:rsidP="00DF5DFB">
      <w:pPr>
        <w:ind w:right="-36"/>
        <w:rPr>
          <w:color w:val="000000" w:themeColor="text1"/>
        </w:rPr>
      </w:pPr>
      <w:r w:rsidRPr="000325DE">
        <w:rPr>
          <w:color w:val="000000" w:themeColor="text1"/>
        </w:rPr>
        <w:t xml:space="preserve">Beginning in 2020, owners of tax-advantaged retirement accounts do not have to begin taking RMDs until the year </w:t>
      </w:r>
      <w:r w:rsidR="007A3062" w:rsidRPr="000325DE">
        <w:rPr>
          <w:color w:val="000000" w:themeColor="text1"/>
        </w:rPr>
        <w:t xml:space="preserve">in which </w:t>
      </w:r>
      <w:r w:rsidRPr="000325DE">
        <w:rPr>
          <w:color w:val="000000" w:themeColor="text1"/>
        </w:rPr>
        <w:t>they reach age 72.</w:t>
      </w:r>
    </w:p>
    <w:p w14:paraId="3D408D1E" w14:textId="707289A4" w:rsidR="00535C9A" w:rsidRPr="000325DE" w:rsidRDefault="00535C9A" w:rsidP="00DF5DFB">
      <w:pPr>
        <w:ind w:right="-36"/>
        <w:rPr>
          <w:color w:val="000000" w:themeColor="text1"/>
        </w:rPr>
      </w:pPr>
    </w:p>
    <w:p w14:paraId="2F7D9FAA" w14:textId="0C84CEB0" w:rsidR="005744BB" w:rsidRPr="000325DE" w:rsidRDefault="005744BB" w:rsidP="00DF5DFB">
      <w:pPr>
        <w:ind w:right="-36"/>
        <w:rPr>
          <w:color w:val="000000" w:themeColor="text1"/>
        </w:rPr>
      </w:pPr>
      <w:r w:rsidRPr="000325DE">
        <w:rPr>
          <w:color w:val="000000" w:themeColor="text1"/>
        </w:rPr>
        <w:t xml:space="preserve">While the SECURE Act </w:t>
      </w:r>
      <w:r w:rsidR="0033286C" w:rsidRPr="000325DE">
        <w:rPr>
          <w:color w:val="000000" w:themeColor="text1"/>
        </w:rPr>
        <w:t>changed the</w:t>
      </w:r>
      <w:r w:rsidRPr="000325DE">
        <w:rPr>
          <w:color w:val="000000" w:themeColor="text1"/>
        </w:rPr>
        <w:t xml:space="preserve"> age for RMDs, Qualified Charitable Distributions (QCDs) from IRAs </w:t>
      </w:r>
      <w:r w:rsidR="00DA2D0F" w:rsidRPr="000325DE">
        <w:rPr>
          <w:color w:val="000000" w:themeColor="text1"/>
        </w:rPr>
        <w:t>we</w:t>
      </w:r>
      <w:r w:rsidRPr="000325DE">
        <w:rPr>
          <w:color w:val="000000" w:themeColor="text1"/>
        </w:rPr>
        <w:t>re not affected</w:t>
      </w:r>
      <w:r w:rsidR="00DA2D0F" w:rsidRPr="000325DE">
        <w:rPr>
          <w:color w:val="000000" w:themeColor="text1"/>
        </w:rPr>
        <w:t xml:space="preserve"> by the new law</w:t>
      </w:r>
      <w:r w:rsidRPr="000325DE">
        <w:rPr>
          <w:color w:val="000000" w:themeColor="text1"/>
        </w:rPr>
        <w:t xml:space="preserve">. QCDs still </w:t>
      </w:r>
      <w:r w:rsidR="0033286C" w:rsidRPr="000325DE">
        <w:rPr>
          <w:color w:val="000000" w:themeColor="text1"/>
        </w:rPr>
        <w:t>can</w:t>
      </w:r>
      <w:r w:rsidRPr="000325DE">
        <w:rPr>
          <w:color w:val="000000" w:themeColor="text1"/>
        </w:rPr>
        <w:t xml:space="preserve"> be</w:t>
      </w:r>
      <w:r w:rsidR="0033286C" w:rsidRPr="000325DE">
        <w:rPr>
          <w:color w:val="000000" w:themeColor="text1"/>
        </w:rPr>
        <w:t xml:space="preserve">gin </w:t>
      </w:r>
      <w:r w:rsidR="00E15411" w:rsidRPr="000325DE">
        <w:rPr>
          <w:color w:val="000000" w:themeColor="text1"/>
        </w:rPr>
        <w:t>at</w:t>
      </w:r>
      <w:r w:rsidRPr="000325DE">
        <w:rPr>
          <w:color w:val="000000" w:themeColor="text1"/>
        </w:rPr>
        <w:t xml:space="preserve"> age 70½.</w:t>
      </w:r>
    </w:p>
    <w:p w14:paraId="66BD9AE9" w14:textId="12ECD6B5" w:rsidR="005744BB" w:rsidRPr="000325DE" w:rsidRDefault="005744BB" w:rsidP="00DF5DFB">
      <w:pPr>
        <w:ind w:right="-36"/>
        <w:rPr>
          <w:color w:val="000000" w:themeColor="text1"/>
        </w:rPr>
      </w:pPr>
    </w:p>
    <w:p w14:paraId="22F58D1C" w14:textId="0A66A83A" w:rsidR="005744BB" w:rsidRPr="000325DE" w:rsidRDefault="005744BB" w:rsidP="00DF5DFB">
      <w:pPr>
        <w:ind w:right="-36"/>
        <w:rPr>
          <w:color w:val="000000" w:themeColor="text1"/>
        </w:rPr>
      </w:pPr>
      <w:r w:rsidRPr="000325DE">
        <w:rPr>
          <w:color w:val="000000" w:themeColor="text1"/>
        </w:rPr>
        <w:t xml:space="preserve">RMDs can be complex, especially for households that have several IRA and retirement plan accounts. </w:t>
      </w:r>
      <w:r w:rsidR="00110419" w:rsidRPr="000325DE">
        <w:rPr>
          <w:color w:val="000000" w:themeColor="text1"/>
        </w:rPr>
        <w:t xml:space="preserve">It’s a good idea to consult with a financial or tax professional before making any RMD decision. </w:t>
      </w:r>
      <w:r w:rsidRPr="000325DE">
        <w:rPr>
          <w:color w:val="000000" w:themeColor="text1"/>
        </w:rPr>
        <w:t>If you would like to discuss the finer points of RMDs</w:t>
      </w:r>
      <w:r w:rsidR="00EA2452" w:rsidRPr="000325DE">
        <w:rPr>
          <w:color w:val="000000" w:themeColor="text1"/>
        </w:rPr>
        <w:t>,</w:t>
      </w:r>
      <w:r w:rsidRPr="000325DE">
        <w:rPr>
          <w:color w:val="000000" w:themeColor="text1"/>
        </w:rPr>
        <w:t xml:space="preserve"> or receive some assistance calculating RMDs, get in touch. We’re happy to help.</w:t>
      </w:r>
    </w:p>
    <w:p w14:paraId="42938D80" w14:textId="455D8329" w:rsidR="00F9332E" w:rsidRPr="000325DE" w:rsidRDefault="002D3893" w:rsidP="00DF5DFB">
      <w:pPr>
        <w:ind w:right="-36"/>
        <w:rPr>
          <w:color w:val="000000" w:themeColor="text1"/>
        </w:rPr>
      </w:pPr>
      <w:r w:rsidRPr="000325DE">
        <w:rPr>
          <w:color w:val="000000" w:themeColor="text1"/>
        </w:rPr>
        <w:tab/>
      </w:r>
    </w:p>
    <w:p w14:paraId="40B3408F" w14:textId="5E722AAD" w:rsidR="00AD6FF5" w:rsidRPr="000325DE" w:rsidRDefault="00FF707C" w:rsidP="00DF5DFB">
      <w:pPr>
        <w:ind w:right="-36"/>
        <w:rPr>
          <w:b/>
          <w:color w:val="35DB3F"/>
          <w:sz w:val="28"/>
          <w:szCs w:val="28"/>
        </w:rPr>
      </w:pPr>
      <w:r w:rsidRPr="000325DE">
        <w:rPr>
          <w:b/>
          <w:color w:val="35DB3F"/>
          <w:sz w:val="28"/>
          <w:szCs w:val="28"/>
        </w:rPr>
        <w:t>W</w:t>
      </w:r>
      <w:r w:rsidR="00425C28" w:rsidRPr="000325DE">
        <w:rPr>
          <w:b/>
          <w:color w:val="35DB3F"/>
          <w:sz w:val="28"/>
          <w:szCs w:val="28"/>
        </w:rPr>
        <w:t xml:space="preserve">eekly Focus – Think </w:t>
      </w:r>
      <w:r w:rsidR="00425C28" w:rsidRPr="000325DE">
        <w:rPr>
          <w:b/>
          <w:bCs/>
          <w:color w:val="35DB3F"/>
          <w:sz w:val="28"/>
          <w:szCs w:val="28"/>
        </w:rPr>
        <w:t>About</w:t>
      </w:r>
      <w:r w:rsidR="00425C28" w:rsidRPr="000325DE">
        <w:rPr>
          <w:b/>
          <w:color w:val="35DB3F"/>
          <w:sz w:val="28"/>
          <w:szCs w:val="28"/>
        </w:rPr>
        <w:t xml:space="preserve"> It</w:t>
      </w:r>
      <w:r w:rsidR="001856C6" w:rsidRPr="000325DE">
        <w:rPr>
          <w:color w:val="35DB3F"/>
          <w:sz w:val="28"/>
          <w:szCs w:val="28"/>
        </w:rPr>
        <w:t xml:space="preserve"> </w:t>
      </w:r>
    </w:p>
    <w:p w14:paraId="154FD7A1" w14:textId="77777777" w:rsidR="00DF5DFB" w:rsidRPr="000325DE" w:rsidRDefault="00DF5DFB" w:rsidP="00DF5DFB">
      <w:pPr>
        <w:widowControl w:val="0"/>
        <w:adjustRightInd w:val="0"/>
        <w:ind w:right="-36"/>
        <w:rPr>
          <w:color w:val="181818"/>
          <w:shd w:val="clear" w:color="auto" w:fill="FFFFFF"/>
        </w:rPr>
      </w:pPr>
    </w:p>
    <w:p w14:paraId="08FE8A25" w14:textId="5DF3ACCD" w:rsidR="00D9074E" w:rsidRPr="000325DE" w:rsidRDefault="00D9074E" w:rsidP="00DF5DFB">
      <w:pPr>
        <w:widowControl w:val="0"/>
        <w:adjustRightInd w:val="0"/>
        <w:ind w:right="-36"/>
        <w:rPr>
          <w:color w:val="181818"/>
          <w:shd w:val="clear" w:color="auto" w:fill="FFFFFF"/>
        </w:rPr>
      </w:pPr>
      <w:r w:rsidRPr="000325DE">
        <w:rPr>
          <w:color w:val="181818"/>
          <w:shd w:val="clear" w:color="auto" w:fill="FFFFFF"/>
        </w:rPr>
        <w:t>“Friendship</w:t>
      </w:r>
      <w:r w:rsidR="003F277A" w:rsidRPr="000325DE">
        <w:rPr>
          <w:color w:val="181818"/>
          <w:shd w:val="clear" w:color="auto" w:fill="FFFFFF"/>
        </w:rPr>
        <w:t>…</w:t>
      </w:r>
      <w:r w:rsidRPr="000325DE">
        <w:rPr>
          <w:color w:val="181818"/>
          <w:shd w:val="clear" w:color="auto" w:fill="FFFFFF"/>
        </w:rPr>
        <w:t xml:space="preserve">is born at the moment when one </w:t>
      </w:r>
      <w:r w:rsidR="006F331A" w:rsidRPr="000325DE">
        <w:rPr>
          <w:color w:val="181818"/>
          <w:shd w:val="clear" w:color="auto" w:fill="FFFFFF"/>
        </w:rPr>
        <w:t>[person]</w:t>
      </w:r>
      <w:r w:rsidRPr="000325DE">
        <w:rPr>
          <w:color w:val="181818"/>
          <w:shd w:val="clear" w:color="auto" w:fill="FFFFFF"/>
        </w:rPr>
        <w:t xml:space="preserve"> says to another "What! You too? I thought that no one but myself</w:t>
      </w:r>
      <w:r w:rsidR="00F3413E" w:rsidRPr="000325DE">
        <w:rPr>
          <w:color w:val="181818"/>
          <w:shd w:val="clear" w:color="auto" w:fill="FFFFFF"/>
        </w:rPr>
        <w:t>…</w:t>
      </w:r>
      <w:r w:rsidRPr="000325DE">
        <w:rPr>
          <w:color w:val="181818"/>
          <w:shd w:val="clear" w:color="auto" w:fill="FFFFFF"/>
        </w:rPr>
        <w:t>”</w:t>
      </w:r>
    </w:p>
    <w:p w14:paraId="073870A3" w14:textId="4264CCDB" w:rsidR="00ED3813" w:rsidRPr="000325DE" w:rsidRDefault="00D9074E" w:rsidP="00DF5DFB">
      <w:pPr>
        <w:widowControl w:val="0"/>
        <w:adjustRightInd w:val="0"/>
        <w:ind w:right="-36"/>
        <w:jc w:val="right"/>
        <w:rPr>
          <w:i/>
          <w:iCs/>
          <w:color w:val="181818"/>
          <w:shd w:val="clear" w:color="auto" w:fill="FFFFFF"/>
        </w:rPr>
      </w:pPr>
      <w:r w:rsidRPr="000325DE">
        <w:rPr>
          <w:i/>
          <w:iCs/>
          <w:color w:val="181818"/>
          <w:shd w:val="clear" w:color="auto" w:fill="FFFFFF"/>
        </w:rPr>
        <w:t xml:space="preserve">--C.S. Lewis, </w:t>
      </w:r>
      <w:r w:rsidR="003F277A" w:rsidRPr="000325DE">
        <w:rPr>
          <w:i/>
          <w:iCs/>
          <w:color w:val="181818"/>
          <w:shd w:val="clear" w:color="auto" w:fill="FFFFFF"/>
        </w:rPr>
        <w:t>w</w:t>
      </w:r>
      <w:r w:rsidRPr="000325DE">
        <w:rPr>
          <w:i/>
          <w:iCs/>
          <w:color w:val="181818"/>
          <w:shd w:val="clear" w:color="auto" w:fill="FFFFFF"/>
        </w:rPr>
        <w:t>riter and theologian</w:t>
      </w:r>
    </w:p>
    <w:p w14:paraId="04516EE3" w14:textId="77777777" w:rsidR="00D9074E" w:rsidRPr="000325DE" w:rsidRDefault="00D9074E" w:rsidP="00DF5DFB">
      <w:pPr>
        <w:widowControl w:val="0"/>
        <w:adjustRightInd w:val="0"/>
        <w:ind w:right="-36"/>
      </w:pPr>
    </w:p>
    <w:p w14:paraId="7D546448" w14:textId="16ACF576" w:rsidR="00370AE2" w:rsidRPr="000325DE" w:rsidRDefault="00370AE2" w:rsidP="00DF5DFB">
      <w:pPr>
        <w:widowControl w:val="0"/>
        <w:adjustRightInd w:val="0"/>
        <w:ind w:right="-36"/>
      </w:pPr>
      <w:r w:rsidRPr="000325DE">
        <w:t>Best regards,</w:t>
      </w:r>
    </w:p>
    <w:p w14:paraId="29981E49" w14:textId="77777777" w:rsidR="00370AE2" w:rsidRPr="000325DE" w:rsidRDefault="00370AE2" w:rsidP="00DF5DFB">
      <w:pPr>
        <w:ind w:right="-36"/>
        <w:rPr>
          <w:color w:val="FF0000"/>
        </w:rPr>
      </w:pPr>
    </w:p>
    <w:p w14:paraId="3A8AC65A" w14:textId="1CDC4B8E" w:rsidR="00BD6A73" w:rsidRDefault="00BD6A73" w:rsidP="00BD6A73">
      <w:r>
        <w:rPr>
          <w:noProof/>
        </w:rPr>
        <w:drawing>
          <wp:inline distT="0" distB="0" distL="0" distR="0" wp14:anchorId="4077447A" wp14:editId="51C20F93">
            <wp:extent cx="518160" cy="438785"/>
            <wp:effectExtent l="0" t="0" r="0" b="0"/>
            <wp:docPr id="1" name="Picture 1" descr="heritage-sc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itage-scot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438785"/>
                    </a:xfrm>
                    <a:prstGeom prst="rect">
                      <a:avLst/>
                    </a:prstGeom>
                    <a:noFill/>
                    <a:ln>
                      <a:noFill/>
                    </a:ln>
                  </pic:spPr>
                </pic:pic>
              </a:graphicData>
            </a:graphic>
          </wp:inline>
        </w:drawing>
      </w:r>
    </w:p>
    <w:p w14:paraId="78E82FDA" w14:textId="77777777" w:rsidR="00BD6A73" w:rsidRPr="006D1236" w:rsidRDefault="00BD6A73" w:rsidP="00BD6A73">
      <w:pPr>
        <w:pStyle w:val="NormalWeb"/>
        <w:spacing w:before="0" w:beforeAutospacing="0" w:after="0" w:afterAutospacing="0"/>
      </w:pPr>
      <w:r w:rsidRPr="006D1236">
        <w:t>Scott J. LeClaire, CFP</w:t>
      </w:r>
      <w:r w:rsidRPr="006D1236">
        <w:rPr>
          <w:vertAlign w:val="superscript"/>
        </w:rPr>
        <w:t>®</w:t>
      </w:r>
      <w:r w:rsidRPr="006D1236">
        <w:t xml:space="preserve">, </w:t>
      </w:r>
      <w:proofErr w:type="spellStart"/>
      <w:r w:rsidRPr="006D1236">
        <w:t>ChFC</w:t>
      </w:r>
      <w:proofErr w:type="spellEnd"/>
    </w:p>
    <w:p w14:paraId="5111A4F5" w14:textId="77777777" w:rsidR="00370AE2" w:rsidRPr="000325DE" w:rsidRDefault="00370AE2" w:rsidP="00DF5DFB">
      <w:pPr>
        <w:ind w:right="-36"/>
        <w:rPr>
          <w:color w:val="FF0000"/>
        </w:rPr>
      </w:pPr>
    </w:p>
    <w:p w14:paraId="44D0F489" w14:textId="77777777" w:rsidR="00BD6A73" w:rsidRDefault="00BD6A73" w:rsidP="00BD6A73">
      <w:bookmarkStart w:id="0" w:name="_GoBack"/>
      <w:bookmarkEnd w:id="0"/>
      <w:r>
        <w:t>Securities and advisory services offered through Commonwealth Financial Network, Member FINRA/SIPC, Registered Investment Advisor.</w:t>
      </w:r>
    </w:p>
    <w:p w14:paraId="7FDC84E3" w14:textId="77777777" w:rsidR="00370AE2" w:rsidRPr="000325DE" w:rsidRDefault="00370AE2" w:rsidP="00DF5DFB">
      <w:pPr>
        <w:ind w:right="-36"/>
      </w:pPr>
    </w:p>
    <w:p w14:paraId="49E2E257" w14:textId="77777777" w:rsidR="00370AE2" w:rsidRPr="000325DE" w:rsidRDefault="00370AE2" w:rsidP="00DF5DFB">
      <w:pPr>
        <w:ind w:right="-36"/>
        <w:rPr>
          <w:sz w:val="22"/>
          <w:szCs w:val="22"/>
        </w:rPr>
      </w:pPr>
      <w:r w:rsidRPr="000325DE">
        <w:rPr>
          <w:sz w:val="22"/>
          <w:szCs w:val="22"/>
        </w:rPr>
        <w:lastRenderedPageBreak/>
        <w:t>* These views are those of Carson Coaching, and not the presenting Representative, the Representative’s Broker/Dealer, or Registered Investment Advisor, and should not be construed as investment advice.</w:t>
      </w:r>
    </w:p>
    <w:p w14:paraId="2011F069" w14:textId="77777777" w:rsidR="00370AE2" w:rsidRPr="000325DE" w:rsidRDefault="00370AE2" w:rsidP="00DF5DFB">
      <w:pPr>
        <w:ind w:right="-36"/>
        <w:rPr>
          <w:sz w:val="22"/>
          <w:szCs w:val="22"/>
        </w:rPr>
      </w:pPr>
      <w:r w:rsidRPr="000325DE">
        <w:rPr>
          <w:sz w:val="22"/>
          <w:szCs w:val="22"/>
        </w:rPr>
        <w:t>* This newsletter was prepared by Carson Coaching. Carson Coaching is not affiliated with the named firm.</w:t>
      </w:r>
    </w:p>
    <w:p w14:paraId="6B40A696" w14:textId="77777777" w:rsidR="00370AE2" w:rsidRPr="000325DE" w:rsidRDefault="00370AE2" w:rsidP="00DF5DFB">
      <w:pPr>
        <w:ind w:right="-36"/>
        <w:rPr>
          <w:sz w:val="22"/>
          <w:szCs w:val="22"/>
        </w:rPr>
      </w:pPr>
      <w:r w:rsidRPr="000325DE">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0325DE" w:rsidRDefault="00370AE2" w:rsidP="00DF5DFB">
      <w:pPr>
        <w:ind w:right="-36"/>
        <w:rPr>
          <w:sz w:val="22"/>
          <w:szCs w:val="22"/>
        </w:rPr>
      </w:pPr>
      <w:r w:rsidRPr="000325DE">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0325DE" w:rsidRDefault="00370AE2" w:rsidP="00DF5DFB">
      <w:pPr>
        <w:ind w:right="-36"/>
        <w:rPr>
          <w:sz w:val="22"/>
          <w:szCs w:val="22"/>
        </w:rPr>
      </w:pPr>
      <w:r w:rsidRPr="000325DE">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0325DE" w:rsidRDefault="00370AE2" w:rsidP="00DF5DFB">
      <w:pPr>
        <w:ind w:right="-36"/>
        <w:rPr>
          <w:sz w:val="22"/>
          <w:szCs w:val="22"/>
        </w:rPr>
      </w:pPr>
      <w:r w:rsidRPr="000325DE">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0325DE" w:rsidRDefault="00370AE2" w:rsidP="00DF5DFB">
      <w:pPr>
        <w:ind w:right="-36"/>
        <w:rPr>
          <w:sz w:val="22"/>
          <w:szCs w:val="22"/>
        </w:rPr>
      </w:pPr>
      <w:r w:rsidRPr="000325DE">
        <w:rPr>
          <w:sz w:val="22"/>
          <w:szCs w:val="22"/>
        </w:rPr>
        <w:t>* The Dow Jones Global ex-U.S. Index covers approximately 95% of the market capitalization of the 45 developed and emerging countries included in the Index.</w:t>
      </w:r>
    </w:p>
    <w:p w14:paraId="4AED1DB5" w14:textId="77777777" w:rsidR="00370AE2" w:rsidRPr="000325DE" w:rsidRDefault="00370AE2" w:rsidP="00DF5DFB">
      <w:pPr>
        <w:ind w:right="-36"/>
        <w:rPr>
          <w:sz w:val="22"/>
          <w:szCs w:val="22"/>
        </w:rPr>
      </w:pPr>
      <w:r w:rsidRPr="000325DE">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0325DE" w:rsidRDefault="00370AE2" w:rsidP="00DF5DFB">
      <w:pPr>
        <w:ind w:right="-36"/>
        <w:rPr>
          <w:sz w:val="22"/>
          <w:szCs w:val="22"/>
        </w:rPr>
      </w:pPr>
      <w:r w:rsidRPr="000325DE">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0325DE" w:rsidRDefault="00370AE2" w:rsidP="00DF5DFB">
      <w:pPr>
        <w:ind w:right="-36"/>
        <w:rPr>
          <w:sz w:val="22"/>
          <w:szCs w:val="22"/>
        </w:rPr>
      </w:pPr>
      <w:r w:rsidRPr="000325DE">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0325DE" w:rsidRDefault="00370AE2" w:rsidP="00DF5DFB">
      <w:pPr>
        <w:ind w:right="-36"/>
        <w:rPr>
          <w:sz w:val="22"/>
          <w:szCs w:val="22"/>
        </w:rPr>
      </w:pPr>
      <w:r w:rsidRPr="000325DE">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0325DE" w:rsidRDefault="00370AE2" w:rsidP="00DF5DFB">
      <w:pPr>
        <w:ind w:right="-36"/>
        <w:rPr>
          <w:sz w:val="22"/>
          <w:szCs w:val="22"/>
        </w:rPr>
      </w:pPr>
      <w:r w:rsidRPr="000325DE">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0325DE" w:rsidRDefault="00370AE2" w:rsidP="00DF5DFB">
      <w:pPr>
        <w:ind w:right="-36"/>
        <w:rPr>
          <w:sz w:val="22"/>
          <w:szCs w:val="22"/>
        </w:rPr>
      </w:pPr>
      <w:r w:rsidRPr="000325DE">
        <w:rPr>
          <w:sz w:val="22"/>
          <w:szCs w:val="22"/>
        </w:rPr>
        <w:t>* The NASDAQ Composite is an unmanaged index of securities traded on the NASDAQ system.</w:t>
      </w:r>
    </w:p>
    <w:p w14:paraId="66E1A312" w14:textId="77777777" w:rsidR="00370AE2" w:rsidRPr="000325DE" w:rsidRDefault="00370AE2" w:rsidP="00DF5DFB">
      <w:pPr>
        <w:ind w:right="-36"/>
        <w:rPr>
          <w:sz w:val="22"/>
          <w:szCs w:val="22"/>
        </w:rPr>
      </w:pPr>
      <w:r w:rsidRPr="000325DE">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0325DE" w:rsidRDefault="00370AE2" w:rsidP="00DF5DFB">
      <w:pPr>
        <w:ind w:right="-36"/>
        <w:rPr>
          <w:sz w:val="22"/>
          <w:szCs w:val="22"/>
        </w:rPr>
      </w:pPr>
      <w:r w:rsidRPr="000325DE">
        <w:rPr>
          <w:sz w:val="22"/>
          <w:szCs w:val="22"/>
        </w:rPr>
        <w:t>* Yahoo! Finance is the source for any reference to the performance of an index between two specific periods.</w:t>
      </w:r>
    </w:p>
    <w:p w14:paraId="3D3EF5E7" w14:textId="77777777" w:rsidR="00370AE2" w:rsidRPr="000325DE" w:rsidRDefault="00370AE2" w:rsidP="00DF5DFB">
      <w:pPr>
        <w:ind w:right="-36"/>
        <w:rPr>
          <w:sz w:val="22"/>
          <w:szCs w:val="22"/>
        </w:rPr>
      </w:pPr>
      <w:r w:rsidRPr="000325DE">
        <w:rPr>
          <w:sz w:val="22"/>
          <w:szCs w:val="22"/>
        </w:rPr>
        <w:t>* Opinions expressed are subject to change without notice and are not intended as investment advice or to predict future performance.</w:t>
      </w:r>
    </w:p>
    <w:p w14:paraId="336C7E74" w14:textId="77777777" w:rsidR="00370AE2" w:rsidRPr="000325DE" w:rsidRDefault="00370AE2" w:rsidP="00DF5DFB">
      <w:pPr>
        <w:ind w:right="-36"/>
        <w:rPr>
          <w:sz w:val="22"/>
          <w:szCs w:val="22"/>
        </w:rPr>
      </w:pPr>
      <w:r w:rsidRPr="000325DE">
        <w:rPr>
          <w:sz w:val="22"/>
          <w:szCs w:val="22"/>
        </w:rPr>
        <w:t>* Economic forecasts set forth may not develop as predicted and there can be no guarantee that strategies promoted will be successful.</w:t>
      </w:r>
    </w:p>
    <w:p w14:paraId="643BF251" w14:textId="77777777" w:rsidR="00370AE2" w:rsidRPr="000325DE" w:rsidRDefault="00370AE2" w:rsidP="00DF5DFB">
      <w:pPr>
        <w:ind w:right="-36"/>
        <w:rPr>
          <w:color w:val="FFFFFF"/>
          <w:sz w:val="22"/>
          <w:szCs w:val="22"/>
        </w:rPr>
      </w:pPr>
      <w:r w:rsidRPr="000325DE">
        <w:rPr>
          <w:sz w:val="22"/>
          <w:szCs w:val="22"/>
        </w:rPr>
        <w:t>* Past performance does not guarantee future results. Investing involves risk, including loss of principal.</w:t>
      </w:r>
    </w:p>
    <w:p w14:paraId="6ACC06E2" w14:textId="77777777" w:rsidR="00370AE2" w:rsidRPr="000325DE" w:rsidRDefault="00370AE2" w:rsidP="00DF5DFB">
      <w:pPr>
        <w:ind w:right="-36"/>
        <w:rPr>
          <w:color w:val="000000"/>
          <w:sz w:val="22"/>
          <w:szCs w:val="22"/>
        </w:rPr>
      </w:pPr>
      <w:r w:rsidRPr="000325DE">
        <w:rPr>
          <w:color w:val="000000"/>
          <w:sz w:val="22"/>
          <w:szCs w:val="22"/>
        </w:rPr>
        <w:t xml:space="preserve">* </w:t>
      </w:r>
      <w:r w:rsidRPr="000325DE">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0325DE" w:rsidRDefault="00370AE2" w:rsidP="00DF5DFB">
      <w:pPr>
        <w:ind w:right="-36"/>
        <w:rPr>
          <w:sz w:val="22"/>
          <w:szCs w:val="22"/>
        </w:rPr>
      </w:pPr>
      <w:r w:rsidRPr="000325DE">
        <w:rPr>
          <w:sz w:val="22"/>
          <w:szCs w:val="22"/>
        </w:rPr>
        <w:t>* There is no guarantee a diversified portfolio will enhance overall returns or outperform a non-diversified portfolio. Diversification does not protect against market risk.</w:t>
      </w:r>
    </w:p>
    <w:p w14:paraId="6178E31F" w14:textId="77777777" w:rsidR="00370AE2" w:rsidRPr="000325DE" w:rsidRDefault="00370AE2" w:rsidP="00DF5DFB">
      <w:pPr>
        <w:ind w:right="-36"/>
        <w:rPr>
          <w:sz w:val="22"/>
          <w:szCs w:val="22"/>
        </w:rPr>
      </w:pPr>
      <w:r w:rsidRPr="000325DE">
        <w:rPr>
          <w:sz w:val="22"/>
          <w:szCs w:val="22"/>
        </w:rPr>
        <w:t>* Asset allocation does not ensure a profit or protect against a loss.</w:t>
      </w:r>
    </w:p>
    <w:p w14:paraId="75AE157E" w14:textId="77777777" w:rsidR="00370AE2" w:rsidRPr="000325DE" w:rsidRDefault="00370AE2" w:rsidP="00DF5DFB">
      <w:pPr>
        <w:ind w:right="-36"/>
        <w:rPr>
          <w:sz w:val="22"/>
          <w:szCs w:val="22"/>
        </w:rPr>
      </w:pPr>
      <w:r w:rsidRPr="000325DE">
        <w:rPr>
          <w:sz w:val="22"/>
          <w:szCs w:val="22"/>
        </w:rPr>
        <w:t>* Consult your financial professional before making any investment decision.</w:t>
      </w:r>
    </w:p>
    <w:p w14:paraId="04F46C40" w14:textId="2B754FAB" w:rsidR="00625B84" w:rsidRPr="000325DE" w:rsidRDefault="00625B84" w:rsidP="00625B84">
      <w:pPr>
        <w:rPr>
          <w:rFonts w:eastAsiaTheme="minorEastAsia"/>
          <w:bCs/>
          <w:color w:val="1A1A1A"/>
          <w:sz w:val="22"/>
          <w:szCs w:val="22"/>
        </w:rPr>
      </w:pPr>
      <w:r w:rsidRPr="000325DE">
        <w:rPr>
          <w:rFonts w:eastAsiaTheme="minorEastAsia"/>
          <w:bCs/>
          <w:color w:val="1A1A1A"/>
          <w:sz w:val="22"/>
          <w:szCs w:val="22"/>
        </w:rPr>
        <w:t>* This is not intended to be a substitute for specific individualized tax advice. We suggest you discuss your specific tax issues with a qualified tax advisor.</w:t>
      </w:r>
    </w:p>
    <w:p w14:paraId="2B3CBC5E" w14:textId="77777777" w:rsidR="003669EE" w:rsidRPr="000325DE" w:rsidRDefault="003669EE" w:rsidP="00DF5DFB">
      <w:pPr>
        <w:ind w:right="-36"/>
        <w:rPr>
          <w:sz w:val="22"/>
          <w:szCs w:val="22"/>
        </w:rPr>
      </w:pPr>
    </w:p>
    <w:p w14:paraId="502E0B64" w14:textId="6C71A862" w:rsidR="00382257" w:rsidRPr="000325DE" w:rsidRDefault="003669EE" w:rsidP="00DF5DFB">
      <w:pPr>
        <w:widowControl w:val="0"/>
        <w:adjustRightInd w:val="0"/>
        <w:ind w:right="-36"/>
        <w:rPr>
          <w:sz w:val="22"/>
          <w:szCs w:val="22"/>
        </w:rPr>
      </w:pPr>
      <w:r w:rsidRPr="000325DE">
        <w:rPr>
          <w:sz w:val="22"/>
          <w:szCs w:val="22"/>
        </w:rPr>
        <w:t>Sources:</w:t>
      </w:r>
    </w:p>
    <w:p w14:paraId="314DD87A" w14:textId="581D8064" w:rsidR="00C47F72" w:rsidRPr="000325DE" w:rsidRDefault="00D30796" w:rsidP="00DF5DFB">
      <w:pPr>
        <w:widowControl w:val="0"/>
        <w:adjustRightInd w:val="0"/>
        <w:ind w:right="-36"/>
        <w:rPr>
          <w:rStyle w:val="Hyperlink"/>
          <w:color w:val="000000" w:themeColor="text1"/>
          <w:sz w:val="22"/>
          <w:szCs w:val="22"/>
          <w:u w:val="none"/>
        </w:rPr>
      </w:pPr>
      <w:hyperlink r:id="rId9" w:history="1">
        <w:r w:rsidR="003864C2" w:rsidRPr="000325DE">
          <w:rPr>
            <w:rStyle w:val="Hyperlink"/>
            <w:sz w:val="22"/>
            <w:szCs w:val="22"/>
          </w:rPr>
          <w:t>https://www.barrons.com/articles/the-bull-market-in-both-risky-and-safe-assets-51582333794?mod=hp_DAY_3</w:t>
        </w:r>
      </w:hyperlink>
      <w:r w:rsidR="009E50CA" w:rsidRPr="000325DE">
        <w:rPr>
          <w:rStyle w:val="Hyperlink"/>
          <w:sz w:val="22"/>
          <w:szCs w:val="22"/>
          <w:u w:val="none"/>
        </w:rPr>
        <w:t xml:space="preserve"> </w:t>
      </w:r>
      <w:r w:rsidR="009E50CA" w:rsidRPr="000325DE">
        <w:rPr>
          <w:rStyle w:val="Hyperlink"/>
          <w:color w:val="000000" w:themeColor="text1"/>
          <w:sz w:val="22"/>
          <w:szCs w:val="22"/>
          <w:u w:val="none"/>
        </w:rPr>
        <w:t>(</w:t>
      </w:r>
      <w:r w:rsidR="009E50CA" w:rsidRPr="000325DE">
        <w:rPr>
          <w:rStyle w:val="Hyperlink"/>
          <w:i/>
          <w:iCs/>
          <w:color w:val="000000" w:themeColor="text1"/>
          <w:sz w:val="22"/>
          <w:szCs w:val="22"/>
          <w:u w:val="none"/>
        </w:rPr>
        <w:t>or go to</w:t>
      </w:r>
      <w:r w:rsidR="009E50CA" w:rsidRPr="000325DE">
        <w:rPr>
          <w:rStyle w:val="Hyperlink"/>
          <w:color w:val="000000" w:themeColor="text1"/>
          <w:sz w:val="22"/>
          <w:szCs w:val="22"/>
          <w:u w:val="none"/>
        </w:rPr>
        <w:t xml:space="preserve"> </w:t>
      </w:r>
      <w:hyperlink r:id="rId10" w:history="1">
        <w:r w:rsidR="00DF5DFB" w:rsidRPr="000325DE">
          <w:rPr>
            <w:rStyle w:val="Hyperlink"/>
            <w:sz w:val="22"/>
            <w:szCs w:val="22"/>
          </w:rPr>
          <w:t>https://peakcontent.s3-us-west-2.amazonaws.com/+Peak+Commentary/02-24-20_Barrons-The_Two-Day_Stock_Selloff_Hurts-</w:t>
        </w:r>
        <w:r w:rsidR="00DF5DFB" w:rsidRPr="000325DE">
          <w:rPr>
            <w:rStyle w:val="Hyperlink"/>
            <w:sz w:val="22"/>
            <w:szCs w:val="22"/>
          </w:rPr>
          <w:lastRenderedPageBreak/>
          <w:t>Footnote_1.pdf</w:t>
        </w:r>
      </w:hyperlink>
      <w:r w:rsidR="00DF5DFB" w:rsidRPr="000325DE">
        <w:rPr>
          <w:rStyle w:val="Hyperlink"/>
          <w:color w:val="000000" w:themeColor="text1"/>
          <w:sz w:val="22"/>
          <w:szCs w:val="22"/>
          <w:u w:val="none"/>
        </w:rPr>
        <w:t>)</w:t>
      </w:r>
    </w:p>
    <w:p w14:paraId="71290FE3" w14:textId="1EC8925E" w:rsidR="003815BF" w:rsidRPr="000325DE" w:rsidRDefault="00D30796" w:rsidP="00DF5DFB">
      <w:pPr>
        <w:widowControl w:val="0"/>
        <w:adjustRightInd w:val="0"/>
        <w:ind w:right="-36"/>
        <w:rPr>
          <w:sz w:val="22"/>
          <w:szCs w:val="22"/>
        </w:rPr>
      </w:pPr>
      <w:hyperlink r:id="rId11" w:history="1">
        <w:r w:rsidR="003815BF" w:rsidRPr="000325DE">
          <w:rPr>
            <w:rStyle w:val="Hyperlink"/>
            <w:sz w:val="22"/>
            <w:szCs w:val="22"/>
          </w:rPr>
          <w:t>https://www.reuters.com/article/us-usa-fed-minutes/fed-policymakers-cautiously-optimistic-on-us-economy-despite-new-risks-minutes-show-idUSKBN20D2K3</w:t>
        </w:r>
      </w:hyperlink>
    </w:p>
    <w:p w14:paraId="75ADE3CF" w14:textId="35FDE77F" w:rsidR="003864C2" w:rsidRPr="000325DE" w:rsidRDefault="00D30796" w:rsidP="00DF5DFB">
      <w:pPr>
        <w:widowControl w:val="0"/>
        <w:adjustRightInd w:val="0"/>
        <w:ind w:right="-36"/>
        <w:rPr>
          <w:sz w:val="22"/>
          <w:szCs w:val="22"/>
        </w:rPr>
      </w:pPr>
      <w:hyperlink r:id="rId12" w:history="1">
        <w:r w:rsidR="009E50CA" w:rsidRPr="000325DE">
          <w:rPr>
            <w:rStyle w:val="Hyperlink"/>
            <w:sz w:val="22"/>
            <w:szCs w:val="22"/>
          </w:rPr>
          <w:t>https://www.investor.gov/additional-resources/general-resources/publications-research/info-sheets/beginners’-guide-asset</w:t>
        </w:r>
      </w:hyperlink>
    </w:p>
    <w:p w14:paraId="63D7CD90" w14:textId="074C0FB2" w:rsidR="003864C2" w:rsidRPr="000325DE" w:rsidRDefault="00D30796" w:rsidP="00DF5DFB">
      <w:pPr>
        <w:widowControl w:val="0"/>
        <w:adjustRightInd w:val="0"/>
        <w:ind w:right="-36"/>
        <w:rPr>
          <w:rStyle w:val="Hyperlink"/>
          <w:color w:val="000000" w:themeColor="text1"/>
          <w:sz w:val="22"/>
          <w:szCs w:val="22"/>
          <w:u w:val="none"/>
        </w:rPr>
      </w:pPr>
      <w:hyperlink r:id="rId13" w:history="1">
        <w:r w:rsidR="00126388" w:rsidRPr="000325DE">
          <w:rPr>
            <w:rStyle w:val="Hyperlink"/>
            <w:sz w:val="22"/>
            <w:szCs w:val="22"/>
          </w:rPr>
          <w:t>https://www.barrons.com/articles/stocks-drop-on-the-week-but-still-look-bubbly-prepare-for-a-correction-51582334151?mod=hp_DAY_2</w:t>
        </w:r>
      </w:hyperlink>
      <w:r w:rsidR="00DF5DFB" w:rsidRPr="000325DE">
        <w:rPr>
          <w:rStyle w:val="Hyperlink"/>
          <w:sz w:val="22"/>
          <w:szCs w:val="22"/>
          <w:u w:val="none"/>
        </w:rPr>
        <w:t xml:space="preserve"> </w:t>
      </w:r>
      <w:r w:rsidR="00DF5DFB" w:rsidRPr="000325DE">
        <w:rPr>
          <w:rStyle w:val="Hyperlink"/>
          <w:color w:val="000000" w:themeColor="text1"/>
          <w:sz w:val="22"/>
          <w:szCs w:val="22"/>
          <w:u w:val="none"/>
        </w:rPr>
        <w:t>(</w:t>
      </w:r>
      <w:r w:rsidR="00DF5DFB" w:rsidRPr="000325DE">
        <w:rPr>
          <w:rStyle w:val="Hyperlink"/>
          <w:i/>
          <w:iCs/>
          <w:color w:val="000000" w:themeColor="text1"/>
          <w:sz w:val="22"/>
          <w:szCs w:val="22"/>
          <w:u w:val="none"/>
        </w:rPr>
        <w:t>or go to</w:t>
      </w:r>
      <w:r w:rsidR="00DF5DFB" w:rsidRPr="000325DE">
        <w:rPr>
          <w:rStyle w:val="Hyperlink"/>
          <w:color w:val="000000" w:themeColor="text1"/>
          <w:sz w:val="22"/>
          <w:szCs w:val="22"/>
          <w:u w:val="none"/>
        </w:rPr>
        <w:t xml:space="preserve"> </w:t>
      </w:r>
      <w:hyperlink r:id="rId14" w:history="1">
        <w:r w:rsidR="00DF5DFB" w:rsidRPr="000325DE">
          <w:rPr>
            <w:rStyle w:val="Hyperlink"/>
            <w:sz w:val="22"/>
            <w:szCs w:val="22"/>
          </w:rPr>
          <w:t>https://peakcontent.s3-us-west-2.amazonaws.com/+Peak+Commentary/02-24-20_Barrons-Stocks_Drop_on_the_Week_but_Still_Look_Bubbly-Footnote_4.pdf</w:t>
        </w:r>
      </w:hyperlink>
      <w:r w:rsidR="00DF5DFB" w:rsidRPr="000325DE">
        <w:rPr>
          <w:rStyle w:val="Hyperlink"/>
          <w:color w:val="000000" w:themeColor="text1"/>
          <w:sz w:val="22"/>
          <w:szCs w:val="22"/>
          <w:u w:val="none"/>
        </w:rPr>
        <w:t>)</w:t>
      </w:r>
    </w:p>
    <w:p w14:paraId="2CD76F87" w14:textId="4D2E38D5" w:rsidR="00126388" w:rsidRPr="000325DE" w:rsidRDefault="00D30796" w:rsidP="00DF5DFB">
      <w:pPr>
        <w:widowControl w:val="0"/>
        <w:adjustRightInd w:val="0"/>
        <w:ind w:right="-36"/>
        <w:rPr>
          <w:color w:val="000000" w:themeColor="text1"/>
          <w:sz w:val="22"/>
          <w:szCs w:val="22"/>
        </w:rPr>
      </w:pPr>
      <w:hyperlink r:id="rId15" w:history="1">
        <w:r w:rsidR="009E50CA" w:rsidRPr="000325DE">
          <w:rPr>
            <w:rStyle w:val="Hyperlink"/>
            <w:sz w:val="22"/>
            <w:szCs w:val="22"/>
          </w:rPr>
          <w:t>http://www.cboe.com/vix</w:t>
        </w:r>
      </w:hyperlink>
      <w:r w:rsidR="00DF5DFB" w:rsidRPr="000325DE">
        <w:rPr>
          <w:sz w:val="22"/>
          <w:szCs w:val="22"/>
        </w:rPr>
        <w:t xml:space="preserve"> </w:t>
      </w:r>
      <w:r w:rsidR="00DF5DFB" w:rsidRPr="000325DE">
        <w:rPr>
          <w:color w:val="000000" w:themeColor="text1"/>
          <w:sz w:val="22"/>
          <w:szCs w:val="22"/>
        </w:rPr>
        <w:t>(</w:t>
      </w:r>
      <w:r w:rsidR="00DF5DFB" w:rsidRPr="000325DE">
        <w:rPr>
          <w:i/>
          <w:iCs/>
          <w:color w:val="000000" w:themeColor="text1"/>
          <w:sz w:val="22"/>
          <w:szCs w:val="22"/>
        </w:rPr>
        <w:t>or go to</w:t>
      </w:r>
      <w:r w:rsidR="00DF5DFB" w:rsidRPr="000325DE">
        <w:rPr>
          <w:color w:val="000000" w:themeColor="text1"/>
          <w:sz w:val="22"/>
          <w:szCs w:val="22"/>
        </w:rPr>
        <w:t xml:space="preserve"> </w:t>
      </w:r>
      <w:hyperlink r:id="rId16" w:history="1">
        <w:r w:rsidR="00DF5DFB" w:rsidRPr="000325DE">
          <w:rPr>
            <w:rStyle w:val="Hyperlink"/>
            <w:sz w:val="22"/>
            <w:szCs w:val="22"/>
          </w:rPr>
          <w:t>https://peakcontent.s3-us-west-2.amazonaws.com/+Peak+Commentary/02-24-20_CBOE_Volatility_Index_Charts_and_Data-Footnote_5.pdf</w:t>
        </w:r>
      </w:hyperlink>
      <w:r w:rsidR="00DF5DFB" w:rsidRPr="000325DE">
        <w:rPr>
          <w:color w:val="000000" w:themeColor="text1"/>
          <w:sz w:val="22"/>
          <w:szCs w:val="22"/>
        </w:rPr>
        <w:t>)</w:t>
      </w:r>
    </w:p>
    <w:p w14:paraId="359C92C5" w14:textId="32EAD1EF" w:rsidR="00BA4C7F" w:rsidRPr="000325DE" w:rsidRDefault="00D30796" w:rsidP="00DF5DFB">
      <w:pPr>
        <w:ind w:right="-36"/>
        <w:rPr>
          <w:rStyle w:val="Hyperlink"/>
          <w:color w:val="000000" w:themeColor="text1"/>
          <w:sz w:val="22"/>
          <w:szCs w:val="22"/>
          <w:u w:val="none"/>
        </w:rPr>
      </w:pPr>
      <w:hyperlink r:id="rId17" w:anchor="toc-HA6E69DEA642642799C7E8CF1D7E50D72" w:history="1">
        <w:r w:rsidR="00BA4C7F" w:rsidRPr="000325DE">
          <w:rPr>
            <w:rStyle w:val="Hyperlink"/>
            <w:sz w:val="22"/>
            <w:szCs w:val="22"/>
          </w:rPr>
          <w:t>https://www.congress.gov/bill/116th-congress/house-bill/1865/text#toc-HA6E69DEA642642799C7E8CF1D7E50D72</w:t>
        </w:r>
      </w:hyperlink>
      <w:r w:rsidR="00DF5DFB" w:rsidRPr="000325DE">
        <w:rPr>
          <w:rStyle w:val="Hyperlink"/>
          <w:sz w:val="22"/>
          <w:szCs w:val="22"/>
          <w:u w:val="none"/>
        </w:rPr>
        <w:t xml:space="preserve"> </w:t>
      </w:r>
      <w:r w:rsidR="00DF5DFB" w:rsidRPr="000325DE">
        <w:rPr>
          <w:rStyle w:val="Hyperlink"/>
          <w:color w:val="000000" w:themeColor="text1"/>
          <w:sz w:val="22"/>
          <w:szCs w:val="22"/>
          <w:u w:val="none"/>
        </w:rPr>
        <w:t>(</w:t>
      </w:r>
      <w:r w:rsidR="00DF5DFB" w:rsidRPr="000325DE">
        <w:rPr>
          <w:rStyle w:val="Hyperlink"/>
          <w:i/>
          <w:iCs/>
          <w:color w:val="000000" w:themeColor="text1"/>
          <w:sz w:val="22"/>
          <w:szCs w:val="22"/>
          <w:u w:val="none"/>
        </w:rPr>
        <w:t>or go to</w:t>
      </w:r>
      <w:r w:rsidR="00DF5DFB" w:rsidRPr="000325DE">
        <w:rPr>
          <w:rStyle w:val="Hyperlink"/>
          <w:color w:val="000000" w:themeColor="text1"/>
          <w:sz w:val="22"/>
          <w:szCs w:val="22"/>
          <w:u w:val="none"/>
        </w:rPr>
        <w:t xml:space="preserve"> </w:t>
      </w:r>
      <w:hyperlink r:id="rId18" w:history="1">
        <w:r w:rsidR="00DF5DFB" w:rsidRPr="000325DE">
          <w:rPr>
            <w:rStyle w:val="Hyperlink"/>
            <w:sz w:val="22"/>
            <w:szCs w:val="22"/>
          </w:rPr>
          <w:t>https://peakcontent.s3-us-west-2.amazonaws.com/+Peak+Commentary/02-24-20_Congress.gov-House_Bill_1865-Footnote_6.pdf</w:t>
        </w:r>
      </w:hyperlink>
      <w:r w:rsidR="00DF5DFB" w:rsidRPr="000325DE">
        <w:rPr>
          <w:rStyle w:val="Hyperlink"/>
          <w:color w:val="000000" w:themeColor="text1"/>
          <w:sz w:val="22"/>
          <w:szCs w:val="22"/>
          <w:u w:val="none"/>
        </w:rPr>
        <w:t>)</w:t>
      </w:r>
    </w:p>
    <w:p w14:paraId="76064141" w14:textId="78101E9A" w:rsidR="00347393" w:rsidRPr="000325DE" w:rsidRDefault="00D30796" w:rsidP="00DF5DFB">
      <w:pPr>
        <w:ind w:right="-36"/>
        <w:rPr>
          <w:rStyle w:val="Hyperlink"/>
          <w:color w:val="000000" w:themeColor="text1"/>
          <w:sz w:val="22"/>
          <w:szCs w:val="22"/>
          <w:u w:val="none"/>
        </w:rPr>
      </w:pPr>
      <w:hyperlink r:id="rId19" w:history="1">
        <w:r w:rsidR="008C1E13" w:rsidRPr="000325DE">
          <w:rPr>
            <w:rStyle w:val="Hyperlink"/>
            <w:sz w:val="22"/>
            <w:szCs w:val="22"/>
          </w:rPr>
          <w:t>https://www.investopedia.com/terms/r/requiredminimumdistribution.asp</w:t>
        </w:r>
      </w:hyperlink>
    </w:p>
    <w:p w14:paraId="6586B5CC" w14:textId="4860D6B7" w:rsidR="00B16E34" w:rsidRPr="000325DE" w:rsidRDefault="00D30796" w:rsidP="00DF5DFB">
      <w:pPr>
        <w:ind w:right="-36"/>
        <w:rPr>
          <w:rStyle w:val="Hyperlink"/>
          <w:color w:val="000000" w:themeColor="text1"/>
          <w:sz w:val="22"/>
          <w:szCs w:val="22"/>
          <w:u w:val="none"/>
        </w:rPr>
      </w:pPr>
      <w:hyperlink r:id="rId20" w:history="1">
        <w:r w:rsidR="009E50CA" w:rsidRPr="000325DE">
          <w:rPr>
            <w:rStyle w:val="Hyperlink"/>
            <w:sz w:val="22"/>
            <w:szCs w:val="22"/>
          </w:rPr>
          <w:t>https://www.irs.gov/retirement-plans/plan-participant-employee/retirement-topics-required-minimum-distributions-rmds</w:t>
        </w:r>
      </w:hyperlink>
    </w:p>
    <w:p w14:paraId="4EE1C6E8" w14:textId="5DDE4BB5" w:rsidR="005744BB" w:rsidRPr="000325DE" w:rsidRDefault="00D30796" w:rsidP="00DF5DFB">
      <w:pPr>
        <w:ind w:right="-36"/>
        <w:rPr>
          <w:rStyle w:val="Hyperlink"/>
          <w:color w:val="000000" w:themeColor="text1"/>
          <w:sz w:val="22"/>
          <w:szCs w:val="22"/>
          <w:u w:val="none"/>
        </w:rPr>
      </w:pPr>
      <w:hyperlink r:id="rId21" w:history="1">
        <w:r w:rsidR="00612340" w:rsidRPr="000325DE">
          <w:rPr>
            <w:rStyle w:val="Hyperlink"/>
            <w:sz w:val="22"/>
            <w:szCs w:val="22"/>
          </w:rPr>
          <w:t>https://www.barrons.com/articles/answers-to-your-questions-on-the-secure-acts-impact-on-iras-rmds-and-qcds-51578502801</w:t>
        </w:r>
      </w:hyperlink>
      <w:r w:rsidR="00DF5DFB" w:rsidRPr="000325DE">
        <w:rPr>
          <w:rStyle w:val="Hyperlink"/>
          <w:sz w:val="22"/>
          <w:szCs w:val="22"/>
          <w:u w:val="none"/>
        </w:rPr>
        <w:t xml:space="preserve"> </w:t>
      </w:r>
      <w:r w:rsidR="00DF5DFB" w:rsidRPr="000325DE">
        <w:rPr>
          <w:rStyle w:val="Hyperlink"/>
          <w:color w:val="000000" w:themeColor="text1"/>
          <w:sz w:val="22"/>
          <w:szCs w:val="22"/>
          <w:u w:val="none"/>
        </w:rPr>
        <w:t>(</w:t>
      </w:r>
      <w:r w:rsidR="00DF5DFB" w:rsidRPr="000325DE">
        <w:rPr>
          <w:rStyle w:val="Hyperlink"/>
          <w:i/>
          <w:iCs/>
          <w:color w:val="000000" w:themeColor="text1"/>
          <w:sz w:val="22"/>
          <w:szCs w:val="22"/>
          <w:u w:val="none"/>
        </w:rPr>
        <w:t>or go to</w:t>
      </w:r>
      <w:r w:rsidR="00DF5DFB" w:rsidRPr="000325DE">
        <w:rPr>
          <w:rStyle w:val="Hyperlink"/>
          <w:color w:val="000000" w:themeColor="text1"/>
          <w:sz w:val="22"/>
          <w:szCs w:val="22"/>
          <w:u w:val="none"/>
        </w:rPr>
        <w:t xml:space="preserve"> </w:t>
      </w:r>
      <w:hyperlink r:id="rId22" w:history="1">
        <w:r w:rsidR="00DF5DFB" w:rsidRPr="000325DE">
          <w:rPr>
            <w:rStyle w:val="Hyperlink"/>
            <w:sz w:val="22"/>
            <w:szCs w:val="22"/>
          </w:rPr>
          <w:t>https://peakcontent.s3-us-west-2.amazonaws.com/+Peak+Commentary/02-24-20_Barrons-The_SECURE_Acts_New_Rules_are_Causing_A_Lot_of_Confusion-Footnote_9.pdf</w:t>
        </w:r>
      </w:hyperlink>
      <w:r w:rsidR="00DF5DFB" w:rsidRPr="000325DE">
        <w:rPr>
          <w:rStyle w:val="Hyperlink"/>
          <w:color w:val="000000" w:themeColor="text1"/>
          <w:sz w:val="22"/>
          <w:szCs w:val="22"/>
          <w:u w:val="none"/>
        </w:rPr>
        <w:t>)</w:t>
      </w:r>
    </w:p>
    <w:p w14:paraId="5979ECCD" w14:textId="0F7FECEA" w:rsidR="00612340" w:rsidRPr="000325DE" w:rsidRDefault="00D30796" w:rsidP="00DF5DFB">
      <w:pPr>
        <w:ind w:right="-36"/>
        <w:rPr>
          <w:rStyle w:val="Hyperlink"/>
          <w:color w:val="000000" w:themeColor="text1"/>
          <w:sz w:val="22"/>
          <w:szCs w:val="22"/>
          <w:u w:val="none"/>
        </w:rPr>
      </w:pPr>
      <w:hyperlink r:id="rId23" w:history="1">
        <w:r w:rsidR="009E50CA" w:rsidRPr="000325DE">
          <w:rPr>
            <w:rStyle w:val="Hyperlink"/>
            <w:sz w:val="22"/>
            <w:szCs w:val="22"/>
          </w:rPr>
          <w:t>https://www.goodreads.com/quotes</w:t>
        </w:r>
      </w:hyperlink>
    </w:p>
    <w:sectPr w:rsidR="00612340" w:rsidRPr="000325DE" w:rsidSect="00DF5DFB">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E7A75" w14:textId="77777777" w:rsidR="00F05F0A" w:rsidRDefault="00F05F0A" w:rsidP="006C05CA">
      <w:r>
        <w:separator/>
      </w:r>
    </w:p>
  </w:endnote>
  <w:endnote w:type="continuationSeparator" w:id="0">
    <w:p w14:paraId="647E4BD9" w14:textId="77777777" w:rsidR="00F05F0A" w:rsidRDefault="00F05F0A"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3C0AF" w14:textId="77777777" w:rsidR="00F05F0A" w:rsidRDefault="00F05F0A" w:rsidP="006C05CA">
      <w:r>
        <w:separator/>
      </w:r>
    </w:p>
  </w:footnote>
  <w:footnote w:type="continuationSeparator" w:id="0">
    <w:p w14:paraId="21B5D263" w14:textId="77777777" w:rsidR="00F05F0A" w:rsidRDefault="00F05F0A"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03AC8"/>
    <w:multiLevelType w:val="hybridMultilevel"/>
    <w:tmpl w:val="AD2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72C1F"/>
    <w:multiLevelType w:val="hybridMultilevel"/>
    <w:tmpl w:val="C966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25821A6E"/>
    <w:multiLevelType w:val="hybridMultilevel"/>
    <w:tmpl w:val="41EC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70B8E"/>
    <w:multiLevelType w:val="hybridMultilevel"/>
    <w:tmpl w:val="D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535CF"/>
    <w:multiLevelType w:val="hybridMultilevel"/>
    <w:tmpl w:val="27F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73DD6"/>
    <w:multiLevelType w:val="hybridMultilevel"/>
    <w:tmpl w:val="0D7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A686F"/>
    <w:multiLevelType w:val="hybridMultilevel"/>
    <w:tmpl w:val="7204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321AC"/>
    <w:multiLevelType w:val="hybridMultilevel"/>
    <w:tmpl w:val="B7D4C13A"/>
    <w:lvl w:ilvl="0" w:tplc="B0426F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C21AB"/>
    <w:multiLevelType w:val="hybridMultilevel"/>
    <w:tmpl w:val="AA4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F1542"/>
    <w:multiLevelType w:val="hybridMultilevel"/>
    <w:tmpl w:val="87B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15:restartNumberingAfterBreak="0">
    <w:nsid w:val="56F24231"/>
    <w:multiLevelType w:val="hybridMultilevel"/>
    <w:tmpl w:val="439C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427AB"/>
    <w:multiLevelType w:val="hybridMultilevel"/>
    <w:tmpl w:val="2F8A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1A548F"/>
    <w:multiLevelType w:val="hybridMultilevel"/>
    <w:tmpl w:val="D90C267E"/>
    <w:lvl w:ilvl="0" w:tplc="29006C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B12CA"/>
    <w:multiLevelType w:val="hybridMultilevel"/>
    <w:tmpl w:val="212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8"/>
  </w:num>
  <w:num w:numId="4">
    <w:abstractNumId w:val="16"/>
  </w:num>
  <w:num w:numId="5">
    <w:abstractNumId w:val="29"/>
  </w:num>
  <w:num w:numId="6">
    <w:abstractNumId w:val="28"/>
  </w:num>
  <w:num w:numId="7">
    <w:abstractNumId w:val="2"/>
  </w:num>
  <w:num w:numId="8">
    <w:abstractNumId w:val="27"/>
  </w:num>
  <w:num w:numId="9">
    <w:abstractNumId w:val="15"/>
  </w:num>
  <w:num w:numId="10">
    <w:abstractNumId w:val="19"/>
  </w:num>
  <w:num w:numId="11">
    <w:abstractNumId w:val="0"/>
  </w:num>
  <w:num w:numId="12">
    <w:abstractNumId w:val="7"/>
  </w:num>
  <w:num w:numId="13">
    <w:abstractNumId w:val="1"/>
  </w:num>
  <w:num w:numId="14">
    <w:abstractNumId w:val="3"/>
  </w:num>
  <w:num w:numId="15">
    <w:abstractNumId w:val="26"/>
  </w:num>
  <w:num w:numId="16">
    <w:abstractNumId w:val="6"/>
  </w:num>
  <w:num w:numId="17">
    <w:abstractNumId w:val="4"/>
  </w:num>
  <w:num w:numId="18">
    <w:abstractNumId w:val="9"/>
  </w:num>
  <w:num w:numId="19">
    <w:abstractNumId w:val="25"/>
  </w:num>
  <w:num w:numId="20">
    <w:abstractNumId w:val="8"/>
  </w:num>
  <w:num w:numId="21">
    <w:abstractNumId w:val="21"/>
  </w:num>
  <w:num w:numId="22">
    <w:abstractNumId w:val="5"/>
  </w:num>
  <w:num w:numId="23">
    <w:abstractNumId w:val="10"/>
  </w:num>
  <w:num w:numId="24">
    <w:abstractNumId w:val="17"/>
  </w:num>
  <w:num w:numId="25">
    <w:abstractNumId w:val="13"/>
  </w:num>
  <w:num w:numId="26">
    <w:abstractNumId w:val="12"/>
  </w:num>
  <w:num w:numId="27">
    <w:abstractNumId w:val="24"/>
  </w:num>
  <w:num w:numId="28">
    <w:abstractNumId w:val="23"/>
  </w:num>
  <w:num w:numId="29">
    <w:abstractNumId w:val="14"/>
  </w:num>
  <w:num w:numId="3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BF0"/>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F9"/>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DE"/>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6FB"/>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760"/>
    <w:rsid w:val="00077A25"/>
    <w:rsid w:val="00077A3A"/>
    <w:rsid w:val="00077B51"/>
    <w:rsid w:val="00077BDD"/>
    <w:rsid w:val="00077CD1"/>
    <w:rsid w:val="00077DCE"/>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DE"/>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2F7"/>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19"/>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B21"/>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713"/>
    <w:rsid w:val="00180807"/>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252"/>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BC4"/>
    <w:rsid w:val="001E3D01"/>
    <w:rsid w:val="001E3DB6"/>
    <w:rsid w:val="001E3E2B"/>
    <w:rsid w:val="001E3F63"/>
    <w:rsid w:val="001E3F6D"/>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98"/>
    <w:rsid w:val="001E64B3"/>
    <w:rsid w:val="001E6542"/>
    <w:rsid w:val="001E6585"/>
    <w:rsid w:val="001E6646"/>
    <w:rsid w:val="001E669F"/>
    <w:rsid w:val="001E671B"/>
    <w:rsid w:val="001E687B"/>
    <w:rsid w:val="001E68A0"/>
    <w:rsid w:val="001E68FC"/>
    <w:rsid w:val="001E6959"/>
    <w:rsid w:val="001E6962"/>
    <w:rsid w:val="001E69AF"/>
    <w:rsid w:val="001E69BC"/>
    <w:rsid w:val="001E6AA1"/>
    <w:rsid w:val="001E6AF8"/>
    <w:rsid w:val="001E6B0B"/>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46"/>
    <w:rsid w:val="00221FB7"/>
    <w:rsid w:val="00221FF6"/>
    <w:rsid w:val="002220CB"/>
    <w:rsid w:val="00222105"/>
    <w:rsid w:val="002221DB"/>
    <w:rsid w:val="00222343"/>
    <w:rsid w:val="0022240B"/>
    <w:rsid w:val="00222566"/>
    <w:rsid w:val="0022257F"/>
    <w:rsid w:val="0022266E"/>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65"/>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108"/>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0C3"/>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67B"/>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E2"/>
    <w:rsid w:val="002D64F9"/>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6F8"/>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16"/>
    <w:rsid w:val="00322F39"/>
    <w:rsid w:val="00323013"/>
    <w:rsid w:val="0032306C"/>
    <w:rsid w:val="003232F5"/>
    <w:rsid w:val="0032335A"/>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2078"/>
    <w:rsid w:val="003320B9"/>
    <w:rsid w:val="003323EE"/>
    <w:rsid w:val="00332440"/>
    <w:rsid w:val="00332529"/>
    <w:rsid w:val="003326BB"/>
    <w:rsid w:val="003326EB"/>
    <w:rsid w:val="0033286C"/>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27"/>
    <w:rsid w:val="0036018D"/>
    <w:rsid w:val="003601A9"/>
    <w:rsid w:val="003602C7"/>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A8E"/>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3D"/>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38"/>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B44"/>
    <w:rsid w:val="003A3E61"/>
    <w:rsid w:val="003A404B"/>
    <w:rsid w:val="003A40AD"/>
    <w:rsid w:val="003A40CF"/>
    <w:rsid w:val="003A4175"/>
    <w:rsid w:val="003A42A1"/>
    <w:rsid w:val="003A445A"/>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E14"/>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6EA"/>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77A"/>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388"/>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094"/>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3"/>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CB"/>
    <w:rsid w:val="004D4D88"/>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644"/>
    <w:rsid w:val="005316BB"/>
    <w:rsid w:val="005319BD"/>
    <w:rsid w:val="00531E18"/>
    <w:rsid w:val="00531FB2"/>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1B6"/>
    <w:rsid w:val="005731B8"/>
    <w:rsid w:val="00573475"/>
    <w:rsid w:val="0057364B"/>
    <w:rsid w:val="0057373B"/>
    <w:rsid w:val="0057377E"/>
    <w:rsid w:val="00573894"/>
    <w:rsid w:val="0057390B"/>
    <w:rsid w:val="005739BF"/>
    <w:rsid w:val="005739EF"/>
    <w:rsid w:val="00573D38"/>
    <w:rsid w:val="00573DE3"/>
    <w:rsid w:val="00574048"/>
    <w:rsid w:val="00574051"/>
    <w:rsid w:val="00574222"/>
    <w:rsid w:val="005744BB"/>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DB1"/>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CF7"/>
    <w:rsid w:val="00587D90"/>
    <w:rsid w:val="00587FDF"/>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3BA"/>
    <w:rsid w:val="005A0528"/>
    <w:rsid w:val="005A05D3"/>
    <w:rsid w:val="005A06E3"/>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782"/>
    <w:rsid w:val="00601896"/>
    <w:rsid w:val="00601A80"/>
    <w:rsid w:val="00601ADA"/>
    <w:rsid w:val="00601BB4"/>
    <w:rsid w:val="00601BFC"/>
    <w:rsid w:val="00601C12"/>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B8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068"/>
    <w:rsid w:val="00641273"/>
    <w:rsid w:val="0064128B"/>
    <w:rsid w:val="00641341"/>
    <w:rsid w:val="0064159A"/>
    <w:rsid w:val="006415B7"/>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B3"/>
    <w:rsid w:val="006464F0"/>
    <w:rsid w:val="006465A9"/>
    <w:rsid w:val="00646637"/>
    <w:rsid w:val="00646676"/>
    <w:rsid w:val="0064676E"/>
    <w:rsid w:val="006467DB"/>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7B1"/>
    <w:rsid w:val="006528AF"/>
    <w:rsid w:val="00652B09"/>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E9B"/>
    <w:rsid w:val="00677EE3"/>
    <w:rsid w:val="00677F24"/>
    <w:rsid w:val="0068008E"/>
    <w:rsid w:val="006801AB"/>
    <w:rsid w:val="00680234"/>
    <w:rsid w:val="0068051E"/>
    <w:rsid w:val="006808D0"/>
    <w:rsid w:val="006808D1"/>
    <w:rsid w:val="00680911"/>
    <w:rsid w:val="00680BE3"/>
    <w:rsid w:val="00680C42"/>
    <w:rsid w:val="00680C49"/>
    <w:rsid w:val="00680D26"/>
    <w:rsid w:val="00680D34"/>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5E3A"/>
    <w:rsid w:val="00696091"/>
    <w:rsid w:val="0069609F"/>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972"/>
    <w:rsid w:val="006A6982"/>
    <w:rsid w:val="006A6A08"/>
    <w:rsid w:val="006A6A11"/>
    <w:rsid w:val="006A6A49"/>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A7D"/>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728"/>
    <w:rsid w:val="006B5B24"/>
    <w:rsid w:val="006B5B3C"/>
    <w:rsid w:val="006B5BA4"/>
    <w:rsid w:val="006B5CC6"/>
    <w:rsid w:val="006B5E83"/>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34"/>
    <w:rsid w:val="00723EC2"/>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92"/>
    <w:rsid w:val="0077414E"/>
    <w:rsid w:val="0077426E"/>
    <w:rsid w:val="007746E8"/>
    <w:rsid w:val="007747B0"/>
    <w:rsid w:val="007749D6"/>
    <w:rsid w:val="00775239"/>
    <w:rsid w:val="00775318"/>
    <w:rsid w:val="00775386"/>
    <w:rsid w:val="007753B7"/>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D7"/>
    <w:rsid w:val="007A126E"/>
    <w:rsid w:val="007A1287"/>
    <w:rsid w:val="007A1357"/>
    <w:rsid w:val="007A13C7"/>
    <w:rsid w:val="007A146E"/>
    <w:rsid w:val="007A14AD"/>
    <w:rsid w:val="007A14C1"/>
    <w:rsid w:val="007A1555"/>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63"/>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312"/>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C57"/>
    <w:rsid w:val="00866C6C"/>
    <w:rsid w:val="00866CE9"/>
    <w:rsid w:val="00866EF0"/>
    <w:rsid w:val="008671E8"/>
    <w:rsid w:val="00867225"/>
    <w:rsid w:val="00867ABE"/>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4BA"/>
    <w:rsid w:val="00885589"/>
    <w:rsid w:val="0088572E"/>
    <w:rsid w:val="008857CD"/>
    <w:rsid w:val="008859C5"/>
    <w:rsid w:val="00885D04"/>
    <w:rsid w:val="00885D3B"/>
    <w:rsid w:val="00885DB2"/>
    <w:rsid w:val="00886178"/>
    <w:rsid w:val="00886421"/>
    <w:rsid w:val="008866C6"/>
    <w:rsid w:val="008868B9"/>
    <w:rsid w:val="00886CC5"/>
    <w:rsid w:val="00886D38"/>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80F"/>
    <w:rsid w:val="008F5824"/>
    <w:rsid w:val="008F589D"/>
    <w:rsid w:val="008F59F7"/>
    <w:rsid w:val="008F5A95"/>
    <w:rsid w:val="008F5B6E"/>
    <w:rsid w:val="008F5BE4"/>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F"/>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AC"/>
    <w:rsid w:val="00976EAF"/>
    <w:rsid w:val="00976EB9"/>
    <w:rsid w:val="00977074"/>
    <w:rsid w:val="009770C0"/>
    <w:rsid w:val="00977130"/>
    <w:rsid w:val="00977524"/>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508C"/>
    <w:rsid w:val="009951BB"/>
    <w:rsid w:val="009952B6"/>
    <w:rsid w:val="009952F6"/>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74B"/>
    <w:rsid w:val="009D486C"/>
    <w:rsid w:val="009D4AEF"/>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CA"/>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8EC"/>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A2B"/>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7F8"/>
    <w:rsid w:val="00A92921"/>
    <w:rsid w:val="00A92DA2"/>
    <w:rsid w:val="00A92F28"/>
    <w:rsid w:val="00A92F8E"/>
    <w:rsid w:val="00A93159"/>
    <w:rsid w:val="00A931E2"/>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01"/>
    <w:rsid w:val="00A977BB"/>
    <w:rsid w:val="00A97844"/>
    <w:rsid w:val="00A978A4"/>
    <w:rsid w:val="00A9798F"/>
    <w:rsid w:val="00A97D24"/>
    <w:rsid w:val="00A97DCB"/>
    <w:rsid w:val="00A97FFD"/>
    <w:rsid w:val="00AA01E3"/>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A3E"/>
    <w:rsid w:val="00AD0A93"/>
    <w:rsid w:val="00AD0B6A"/>
    <w:rsid w:val="00AD0DCA"/>
    <w:rsid w:val="00AD1077"/>
    <w:rsid w:val="00AD124D"/>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202"/>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9F"/>
    <w:rsid w:val="00B24AAF"/>
    <w:rsid w:val="00B24ADB"/>
    <w:rsid w:val="00B24BD1"/>
    <w:rsid w:val="00B24D33"/>
    <w:rsid w:val="00B24E94"/>
    <w:rsid w:val="00B24FA4"/>
    <w:rsid w:val="00B25010"/>
    <w:rsid w:val="00B2536E"/>
    <w:rsid w:val="00B25381"/>
    <w:rsid w:val="00B2559A"/>
    <w:rsid w:val="00B2584C"/>
    <w:rsid w:val="00B259AB"/>
    <w:rsid w:val="00B25BBA"/>
    <w:rsid w:val="00B25C54"/>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C9"/>
    <w:rsid w:val="00B61C23"/>
    <w:rsid w:val="00B61C58"/>
    <w:rsid w:val="00B61E0F"/>
    <w:rsid w:val="00B61EA0"/>
    <w:rsid w:val="00B61F3E"/>
    <w:rsid w:val="00B62351"/>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00"/>
    <w:rsid w:val="00B73A64"/>
    <w:rsid w:val="00B74169"/>
    <w:rsid w:val="00B742C9"/>
    <w:rsid w:val="00B74771"/>
    <w:rsid w:val="00B7478C"/>
    <w:rsid w:val="00B747C3"/>
    <w:rsid w:val="00B748E6"/>
    <w:rsid w:val="00B74C44"/>
    <w:rsid w:val="00B74DB0"/>
    <w:rsid w:val="00B74E31"/>
    <w:rsid w:val="00B74EB5"/>
    <w:rsid w:val="00B74F62"/>
    <w:rsid w:val="00B74F85"/>
    <w:rsid w:val="00B74FD1"/>
    <w:rsid w:val="00B75257"/>
    <w:rsid w:val="00B755D4"/>
    <w:rsid w:val="00B75668"/>
    <w:rsid w:val="00B757FF"/>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71B"/>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7F"/>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D5"/>
    <w:rsid w:val="00BB2AFC"/>
    <w:rsid w:val="00BB2DC4"/>
    <w:rsid w:val="00BB2EAA"/>
    <w:rsid w:val="00BB3054"/>
    <w:rsid w:val="00BB35AE"/>
    <w:rsid w:val="00BB3773"/>
    <w:rsid w:val="00BB37D1"/>
    <w:rsid w:val="00BB3FCD"/>
    <w:rsid w:val="00BB40EE"/>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4BF"/>
    <w:rsid w:val="00BC46BB"/>
    <w:rsid w:val="00BC483E"/>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45"/>
    <w:rsid w:val="00BD68B1"/>
    <w:rsid w:val="00BD6A36"/>
    <w:rsid w:val="00BD6A73"/>
    <w:rsid w:val="00BD6B25"/>
    <w:rsid w:val="00BD6BCB"/>
    <w:rsid w:val="00BD6CD2"/>
    <w:rsid w:val="00BD6D1F"/>
    <w:rsid w:val="00BD6DE5"/>
    <w:rsid w:val="00BD6E88"/>
    <w:rsid w:val="00BD6F3C"/>
    <w:rsid w:val="00BD6FE3"/>
    <w:rsid w:val="00BD723D"/>
    <w:rsid w:val="00BD7330"/>
    <w:rsid w:val="00BD7349"/>
    <w:rsid w:val="00BD7600"/>
    <w:rsid w:val="00BD765E"/>
    <w:rsid w:val="00BD7A88"/>
    <w:rsid w:val="00BD7B50"/>
    <w:rsid w:val="00BD7BBD"/>
    <w:rsid w:val="00BD7CE7"/>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0F5"/>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123"/>
    <w:rsid w:val="00C0128F"/>
    <w:rsid w:val="00C0130A"/>
    <w:rsid w:val="00C01340"/>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F73"/>
    <w:rsid w:val="00C11040"/>
    <w:rsid w:val="00C1132B"/>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47F72"/>
    <w:rsid w:val="00C500C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1FC1"/>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2E7E"/>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0FCD"/>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898"/>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4FCA"/>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9C0"/>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2"/>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3A"/>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796"/>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0B4"/>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96D"/>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6EFC"/>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B08"/>
    <w:rsid w:val="00D77E68"/>
    <w:rsid w:val="00D80045"/>
    <w:rsid w:val="00D80074"/>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AE4"/>
    <w:rsid w:val="00D97AF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49C"/>
    <w:rsid w:val="00DB0503"/>
    <w:rsid w:val="00DB050C"/>
    <w:rsid w:val="00DB059A"/>
    <w:rsid w:val="00DB0624"/>
    <w:rsid w:val="00DB06AF"/>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46"/>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1041"/>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DC0"/>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844"/>
    <w:rsid w:val="00DE0936"/>
    <w:rsid w:val="00DE0A38"/>
    <w:rsid w:val="00DE0B89"/>
    <w:rsid w:val="00DE0C47"/>
    <w:rsid w:val="00DE0C5D"/>
    <w:rsid w:val="00DE0DC5"/>
    <w:rsid w:val="00DE0E26"/>
    <w:rsid w:val="00DE10F0"/>
    <w:rsid w:val="00DE11BF"/>
    <w:rsid w:val="00DE1412"/>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5DFB"/>
    <w:rsid w:val="00DF604F"/>
    <w:rsid w:val="00DF606B"/>
    <w:rsid w:val="00DF6118"/>
    <w:rsid w:val="00DF633D"/>
    <w:rsid w:val="00DF6455"/>
    <w:rsid w:val="00DF669E"/>
    <w:rsid w:val="00DF6880"/>
    <w:rsid w:val="00DF69DC"/>
    <w:rsid w:val="00DF6A21"/>
    <w:rsid w:val="00DF6A9F"/>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D9E"/>
    <w:rsid w:val="00E4313E"/>
    <w:rsid w:val="00E43432"/>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5F"/>
    <w:rsid w:val="00E933C6"/>
    <w:rsid w:val="00E9352D"/>
    <w:rsid w:val="00E936A1"/>
    <w:rsid w:val="00E9370C"/>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298"/>
    <w:rsid w:val="00EA13C7"/>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1186"/>
    <w:rsid w:val="00EE121D"/>
    <w:rsid w:val="00EE1286"/>
    <w:rsid w:val="00EE1309"/>
    <w:rsid w:val="00EE1469"/>
    <w:rsid w:val="00EE14B2"/>
    <w:rsid w:val="00EE169D"/>
    <w:rsid w:val="00EE16D4"/>
    <w:rsid w:val="00EE177F"/>
    <w:rsid w:val="00EE18C2"/>
    <w:rsid w:val="00EE1A03"/>
    <w:rsid w:val="00EE1C6E"/>
    <w:rsid w:val="00EE1E7F"/>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494"/>
    <w:rsid w:val="00EF1534"/>
    <w:rsid w:val="00EF1564"/>
    <w:rsid w:val="00EF15B7"/>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0A"/>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B97"/>
    <w:rsid w:val="00F42D20"/>
    <w:rsid w:val="00F42D31"/>
    <w:rsid w:val="00F42DDB"/>
    <w:rsid w:val="00F42F33"/>
    <w:rsid w:val="00F430D2"/>
    <w:rsid w:val="00F43117"/>
    <w:rsid w:val="00F432A9"/>
    <w:rsid w:val="00F4364C"/>
    <w:rsid w:val="00F4376B"/>
    <w:rsid w:val="00F437D8"/>
    <w:rsid w:val="00F438CF"/>
    <w:rsid w:val="00F43B6F"/>
    <w:rsid w:val="00F43FA7"/>
    <w:rsid w:val="00F44069"/>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649"/>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6BE"/>
    <w:rsid w:val="00FA780D"/>
    <w:rsid w:val="00FA7A77"/>
    <w:rsid w:val="00FB0110"/>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F0064"/>
    <w:rsid w:val="00FF017E"/>
    <w:rsid w:val="00FF02AE"/>
    <w:rsid w:val="00FF044B"/>
    <w:rsid w:val="00FF05CF"/>
    <w:rsid w:val="00FF069C"/>
    <w:rsid w:val="00FF07B4"/>
    <w:rsid w:val="00FF085A"/>
    <w:rsid w:val="00FF0A49"/>
    <w:rsid w:val="00FF0C60"/>
    <w:rsid w:val="00FF0CD1"/>
    <w:rsid w:val="00FF0E81"/>
    <w:rsid w:val="00FF0EEE"/>
    <w:rsid w:val="00FF0FB1"/>
    <w:rsid w:val="00FF13EB"/>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8A3A71BE-8F2F-4AB1-BBEF-05BFA83C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customStyle="1" w:styleId="UnresolvedMention1">
    <w:name w:val="Unresolved Mention1"/>
    <w:basedOn w:val="DefaultParagraphFont"/>
    <w:uiPriority w:val="99"/>
    <w:semiHidden/>
    <w:unhideWhenUsed/>
    <w:rsid w:val="00467F1C"/>
    <w:rPr>
      <w:color w:val="605E5C"/>
      <w:shd w:val="clear" w:color="auto" w:fill="E1DFDD"/>
    </w:rPr>
  </w:style>
  <w:style w:type="character" w:customStyle="1" w:styleId="NormalWebChar">
    <w:name w:val="Normal (Web) Char"/>
    <w:link w:val="NormalWeb"/>
    <w:locked/>
    <w:rsid w:val="00BD6A7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rrons.com/articles/stocks-drop-on-the-week-but-still-look-bubbly-prepare-for-a-correction-51582334151?mod=hp_DAY_2" TargetMode="External"/><Relationship Id="rId18" Type="http://schemas.openxmlformats.org/officeDocument/2006/relationships/hyperlink" Target="https://peakcontent.s3-us-west-2.amazonaws.com/+Peak+Commentary/02-24-20_Congress.gov-House_Bill_1865-Footnote_6.pdf" TargetMode="External"/><Relationship Id="rId3" Type="http://schemas.openxmlformats.org/officeDocument/2006/relationships/styles" Target="styles.xml"/><Relationship Id="rId21" Type="http://schemas.openxmlformats.org/officeDocument/2006/relationships/hyperlink" Target="https://www.barrons.com/articles/answers-to-your-questions-on-the-secure-acts-impact-on-iras-rmds-and-qcds-51578502801" TargetMode="External"/><Relationship Id="rId7" Type="http://schemas.openxmlformats.org/officeDocument/2006/relationships/endnotes" Target="endnotes.xml"/><Relationship Id="rId12" Type="http://schemas.openxmlformats.org/officeDocument/2006/relationships/hyperlink" Target="https://www.investor.gov/additional-resources/general-resources/publications-research/info-sheets/beginners&#8217;-guide-asset" TargetMode="External"/><Relationship Id="rId17" Type="http://schemas.openxmlformats.org/officeDocument/2006/relationships/hyperlink" Target="https://www.congress.gov/bill/116th-congress/house-bill/1865/tex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eakcontent.s3-us-west-2.amazonaws.com/+Peak+Commentary/02-24-20_CBOE_Volatility_Index_Charts_and_Data-Footnote_5.pdf" TargetMode="External"/><Relationship Id="rId20" Type="http://schemas.openxmlformats.org/officeDocument/2006/relationships/hyperlink" Target="https://www.irs.gov/retirement-plans/plan-participant-employee/retirement-topics-required-minimum-distributions-rm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uters.com/article/us-usa-fed-minutes/fed-policymakers-cautiously-optimistic-on-us-economy-despite-new-risks-minutes-show-idUSKBN20D2K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boe.com/vix" TargetMode="External"/><Relationship Id="rId23" Type="http://schemas.openxmlformats.org/officeDocument/2006/relationships/hyperlink" Target="https://www.goodreads.com/quotes" TargetMode="External"/><Relationship Id="rId10" Type="http://schemas.openxmlformats.org/officeDocument/2006/relationships/hyperlink" Target="https://peakcontent.s3-us-west-2.amazonaws.com/+Peak+Commentary/02-24-20_Barrons-The_Two-Day_Stock_Selloff_Hurts-Footnote_1.pdf" TargetMode="External"/><Relationship Id="rId19" Type="http://schemas.openxmlformats.org/officeDocument/2006/relationships/hyperlink" Target="https://www.investopedia.com/terms/r/requiredminimumdistribution.asp" TargetMode="External"/><Relationship Id="rId4" Type="http://schemas.openxmlformats.org/officeDocument/2006/relationships/settings" Target="settings.xml"/><Relationship Id="rId9" Type="http://schemas.openxmlformats.org/officeDocument/2006/relationships/hyperlink" Target="https://www.barrons.com/articles/the-bull-market-in-both-risky-and-safe-assets-51582333794?mod=hp_DAY_3" TargetMode="External"/><Relationship Id="rId14" Type="http://schemas.openxmlformats.org/officeDocument/2006/relationships/hyperlink" Target="https://peakcontent.s3-us-west-2.amazonaws.com/+Peak+Commentary/02-24-20_Barrons-Stocks_Drop_on_the_Week_but_Still_Look_Bubbly-Footnote_4.pdf" TargetMode="External"/><Relationship Id="rId22" Type="http://schemas.openxmlformats.org/officeDocument/2006/relationships/hyperlink" Target="https://peakcontent.s3-us-west-2.amazonaws.com/+Peak+Commentary/02-24-20_Barrons-The_SECURE_Acts_New_Rules_are_Causing_A_Lot_of_Confusion-Footnote_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CAAFC-CF60-48D4-9242-D62EF318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1869</Words>
  <Characters>10655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Weekly Commentary 02-24-20</vt:lpstr>
    </vt:vector>
  </TitlesOfParts>
  <Company/>
  <LinksUpToDate>false</LinksUpToDate>
  <CharactersWithSpaces>12500</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02-24-20</dc:title>
  <dc:creator>Carson Coaching</dc:creator>
  <cp:lastModifiedBy>Noraleen LeClaire</cp:lastModifiedBy>
  <cp:revision>2</cp:revision>
  <cp:lastPrinted>2020-02-23T21:24:00Z</cp:lastPrinted>
  <dcterms:created xsi:type="dcterms:W3CDTF">2020-04-27T17:45:00Z</dcterms:created>
  <dcterms:modified xsi:type="dcterms:W3CDTF">2020-04-27T17:45:00Z</dcterms:modified>
</cp:coreProperties>
</file>