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0EE1E1D7" w:rsidR="00383256" w:rsidRPr="0036086B" w:rsidRDefault="007C41CD"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March </w:t>
      </w:r>
      <w:r w:rsidR="00C6642B">
        <w:rPr>
          <w:rFonts w:ascii="Arial" w:hAnsi="Arial" w:cs="Arial"/>
          <w:b/>
          <w:bCs/>
          <w:color w:val="0D304A"/>
          <w:sz w:val="32"/>
          <w:szCs w:val="32"/>
        </w:rPr>
        <w:t>2</w:t>
      </w:r>
      <w:r w:rsidR="00D27029">
        <w:rPr>
          <w:rFonts w:ascii="Arial" w:hAnsi="Arial" w:cs="Arial"/>
          <w:b/>
          <w:bCs/>
          <w:color w:val="0D304A"/>
          <w:sz w:val="32"/>
          <w:szCs w:val="32"/>
        </w:rPr>
        <w:t>8</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4C589232" w14:textId="77777777" w:rsidR="00D27029" w:rsidRPr="003943C4" w:rsidRDefault="00D27029" w:rsidP="00D27029">
      <w:pPr>
        <w:ind w:right="54"/>
        <w:rPr>
          <w:rFonts w:ascii="Arial" w:hAnsi="Arial" w:cs="Arial"/>
          <w:bCs/>
          <w:color w:val="35DB3F"/>
        </w:rPr>
      </w:pPr>
      <w:r w:rsidRPr="003943C4">
        <w:rPr>
          <w:rFonts w:ascii="Arial" w:hAnsi="Arial" w:cs="Arial"/>
          <w:b/>
          <w:bCs/>
          <w:color w:val="0D304A"/>
          <w:sz w:val="28"/>
          <w:szCs w:val="28"/>
        </w:rPr>
        <w:t>The Markets</w:t>
      </w:r>
      <w:r w:rsidRPr="003943C4">
        <w:rPr>
          <w:rFonts w:ascii="Arial" w:hAnsi="Arial" w:cs="Arial"/>
          <w:bCs/>
          <w:color w:val="35DB3F"/>
        </w:rPr>
        <w:t xml:space="preserve"> </w:t>
      </w:r>
    </w:p>
    <w:p w14:paraId="7CED64FF"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bCs/>
          <w:color w:val="000000" w:themeColor="text1"/>
          <w:sz w:val="22"/>
          <w:szCs w:val="22"/>
        </w:rPr>
        <w:t>Be careful what you ask for, you just might get it.</w:t>
      </w:r>
    </w:p>
    <w:p w14:paraId="3A488CDD" w14:textId="77777777" w:rsidR="00D27029" w:rsidRPr="003943C4" w:rsidRDefault="00D27029" w:rsidP="00D27029">
      <w:pPr>
        <w:ind w:right="54"/>
        <w:rPr>
          <w:rFonts w:ascii="Arial" w:hAnsi="Arial" w:cs="Arial"/>
          <w:bCs/>
          <w:color w:val="000000" w:themeColor="text1"/>
          <w:sz w:val="22"/>
          <w:szCs w:val="22"/>
        </w:rPr>
      </w:pPr>
    </w:p>
    <w:p w14:paraId="0C50C870" w14:textId="77777777" w:rsidR="00D27029" w:rsidRPr="003943C4" w:rsidRDefault="00D27029" w:rsidP="00D27029">
      <w:pPr>
        <w:ind w:right="54"/>
        <w:rPr>
          <w:rFonts w:ascii="Arial" w:hAnsi="Arial" w:cs="Arial"/>
          <w:bCs/>
          <w:color w:val="000000" w:themeColor="text1"/>
          <w:sz w:val="22"/>
          <w:szCs w:val="22"/>
          <w:vertAlign w:val="superscript"/>
        </w:rPr>
      </w:pPr>
      <w:r w:rsidRPr="003943C4">
        <w:rPr>
          <w:rFonts w:ascii="Arial" w:hAnsi="Arial" w:cs="Arial"/>
          <w:bCs/>
          <w:color w:val="000000" w:themeColor="text1"/>
          <w:sz w:val="22"/>
          <w:szCs w:val="22"/>
        </w:rPr>
        <w:t xml:space="preserve">In early March, almost two-thirds of Americans who participated in a </w:t>
      </w:r>
      <w:r w:rsidRPr="003943C4">
        <w:rPr>
          <w:rFonts w:ascii="Arial" w:hAnsi="Arial" w:cs="Arial"/>
          <w:bCs/>
          <w:i/>
          <w:iCs/>
          <w:color w:val="000000" w:themeColor="text1"/>
          <w:sz w:val="22"/>
          <w:szCs w:val="22"/>
        </w:rPr>
        <w:t>Nationwide Retirement Institute</w:t>
      </w:r>
      <w:r w:rsidRPr="003943C4">
        <w:rPr>
          <w:rFonts w:ascii="Arial" w:hAnsi="Arial" w:cs="Arial"/>
          <w:bCs/>
          <w:color w:val="000000" w:themeColor="text1"/>
          <w:sz w:val="22"/>
          <w:szCs w:val="22"/>
        </w:rPr>
        <w:t xml:space="preserve"> survey said the Federal Reserve (Fed) should take more aggressive action on inflation.</w:t>
      </w:r>
      <w:r w:rsidRPr="003943C4">
        <w:rPr>
          <w:rFonts w:ascii="Arial" w:hAnsi="Arial" w:cs="Arial"/>
          <w:bCs/>
          <w:color w:val="000000" w:themeColor="text1"/>
          <w:sz w:val="22"/>
          <w:szCs w:val="22"/>
          <w:vertAlign w:val="superscript"/>
        </w:rPr>
        <w:t xml:space="preserve"> </w:t>
      </w:r>
      <w:r w:rsidRPr="003943C4">
        <w:rPr>
          <w:rFonts w:ascii="Arial" w:hAnsi="Arial" w:cs="Arial"/>
          <w:bCs/>
          <w:color w:val="000000" w:themeColor="text1"/>
          <w:sz w:val="22"/>
          <w:szCs w:val="22"/>
        </w:rPr>
        <w:t xml:space="preserve">The next week, the Federal Open Market Committee (FOMC) did just that. It increased the target range for the Federal funds rate by a quarter point to 0.25 percent to 0.50 percent. </w:t>
      </w:r>
    </w:p>
    <w:p w14:paraId="1226357A" w14:textId="77777777" w:rsidR="00D27029" w:rsidRPr="003943C4" w:rsidRDefault="00D27029" w:rsidP="00D27029">
      <w:pPr>
        <w:ind w:right="54"/>
        <w:rPr>
          <w:rFonts w:ascii="Arial" w:hAnsi="Arial" w:cs="Arial"/>
          <w:bCs/>
          <w:color w:val="000000" w:themeColor="text1"/>
          <w:sz w:val="22"/>
          <w:szCs w:val="22"/>
        </w:rPr>
      </w:pPr>
    </w:p>
    <w:p w14:paraId="5EDE330E"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bCs/>
          <w:color w:val="000000" w:themeColor="text1"/>
          <w:sz w:val="22"/>
          <w:szCs w:val="22"/>
        </w:rPr>
        <w:t>When rates rise, borrowing becomes more expensive. The change often reduces demand and pushes prices – and inflation – lower. Last week, the Fed rate hike began to affect consumers and investors in a variety of ways. We saw:</w:t>
      </w:r>
    </w:p>
    <w:p w14:paraId="0D598099" w14:textId="77777777" w:rsidR="00D27029" w:rsidRPr="003943C4" w:rsidRDefault="00D27029" w:rsidP="00D27029">
      <w:pPr>
        <w:ind w:right="54"/>
        <w:rPr>
          <w:rFonts w:ascii="Arial" w:hAnsi="Arial" w:cs="Arial"/>
          <w:bCs/>
          <w:color w:val="000000" w:themeColor="text1"/>
          <w:sz w:val="22"/>
          <w:szCs w:val="22"/>
        </w:rPr>
      </w:pPr>
    </w:p>
    <w:p w14:paraId="3DA71F43" w14:textId="77777777" w:rsidR="00D27029" w:rsidRPr="003943C4" w:rsidRDefault="00D27029" w:rsidP="00D27029">
      <w:pPr>
        <w:numPr>
          <w:ilvl w:val="0"/>
          <w:numId w:val="7"/>
        </w:numPr>
        <w:ind w:right="54"/>
        <w:contextualSpacing/>
        <w:rPr>
          <w:rFonts w:ascii="Arial" w:hAnsi="Arial" w:cs="Arial"/>
          <w:bCs/>
          <w:color w:val="000000" w:themeColor="text1"/>
          <w:sz w:val="22"/>
          <w:szCs w:val="22"/>
        </w:rPr>
      </w:pPr>
      <w:r w:rsidRPr="003943C4">
        <w:rPr>
          <w:rFonts w:ascii="Arial" w:hAnsi="Arial" w:cs="Arial"/>
          <w:b/>
          <w:color w:val="000000" w:themeColor="text1"/>
          <w:sz w:val="22"/>
          <w:szCs w:val="22"/>
        </w:rPr>
        <w:t>A sharp increase in Treasury rates</w:t>
      </w:r>
      <w:r w:rsidRPr="003943C4">
        <w:rPr>
          <w:rFonts w:ascii="Arial" w:hAnsi="Arial" w:cs="Arial"/>
          <w:bCs/>
          <w:color w:val="000000" w:themeColor="text1"/>
          <w:sz w:val="22"/>
          <w:szCs w:val="22"/>
        </w:rPr>
        <w:t xml:space="preserve">. Last week, the 2-year UST rate rose from 1.97 percent to 2.30 percent. When bond rates rise, bond prices fall, and that can make bonds less attractive to investors. Ben Levisohn of </w:t>
      </w:r>
      <w:r w:rsidRPr="003943C4">
        <w:rPr>
          <w:rFonts w:ascii="Arial" w:hAnsi="Arial" w:cs="Arial"/>
          <w:bCs/>
          <w:i/>
          <w:iCs/>
          <w:color w:val="000000" w:themeColor="text1"/>
          <w:sz w:val="22"/>
          <w:szCs w:val="22"/>
        </w:rPr>
        <w:t>Barron’s</w:t>
      </w:r>
      <w:r w:rsidRPr="003943C4">
        <w:rPr>
          <w:rFonts w:ascii="Arial" w:hAnsi="Arial" w:cs="Arial"/>
          <w:bCs/>
          <w:color w:val="000000" w:themeColor="text1"/>
          <w:sz w:val="22"/>
          <w:szCs w:val="22"/>
        </w:rPr>
        <w:t xml:space="preserve"> reported:</w:t>
      </w:r>
    </w:p>
    <w:p w14:paraId="4F671139" w14:textId="77777777" w:rsidR="00D27029" w:rsidRPr="003943C4" w:rsidRDefault="00D27029" w:rsidP="00D27029">
      <w:pPr>
        <w:ind w:left="720" w:right="54"/>
        <w:contextualSpacing/>
        <w:rPr>
          <w:rFonts w:ascii="Arial" w:hAnsi="Arial" w:cs="Arial"/>
          <w:b/>
          <w:color w:val="000000" w:themeColor="text1"/>
          <w:sz w:val="22"/>
          <w:szCs w:val="22"/>
        </w:rPr>
      </w:pPr>
    </w:p>
    <w:p w14:paraId="400CA747" w14:textId="77777777" w:rsidR="00D27029" w:rsidRPr="003943C4" w:rsidRDefault="00D27029" w:rsidP="00D27029">
      <w:pPr>
        <w:ind w:left="720" w:right="54"/>
        <w:contextualSpacing/>
        <w:rPr>
          <w:rFonts w:ascii="Arial" w:hAnsi="Arial" w:cs="Arial"/>
          <w:bCs/>
          <w:color w:val="000000" w:themeColor="text1"/>
          <w:sz w:val="22"/>
          <w:szCs w:val="22"/>
        </w:rPr>
      </w:pPr>
      <w:r w:rsidRPr="003943C4">
        <w:rPr>
          <w:rFonts w:ascii="Arial" w:hAnsi="Arial" w:cs="Arial"/>
          <w:bCs/>
          <w:color w:val="000000" w:themeColor="text1"/>
          <w:sz w:val="22"/>
          <w:szCs w:val="22"/>
        </w:rPr>
        <w:t>“With government bonds on pace for their worst year since 1949, investors are looking for other places to put their money – and they may have settled on stocks. In recent weeks, stock and bond prices have stopped moving in the same direction…”</w:t>
      </w:r>
    </w:p>
    <w:p w14:paraId="407A1407" w14:textId="77777777" w:rsidR="00D27029" w:rsidRPr="003943C4" w:rsidRDefault="00D27029" w:rsidP="00D27029">
      <w:pPr>
        <w:ind w:left="720" w:right="54"/>
        <w:contextualSpacing/>
        <w:rPr>
          <w:rFonts w:ascii="Arial" w:hAnsi="Arial" w:cs="Arial"/>
          <w:bCs/>
          <w:color w:val="000000" w:themeColor="text1"/>
          <w:sz w:val="22"/>
          <w:szCs w:val="22"/>
        </w:rPr>
      </w:pPr>
    </w:p>
    <w:p w14:paraId="265F2417" w14:textId="77777777" w:rsidR="00D27029" w:rsidRPr="003943C4" w:rsidRDefault="00D27029" w:rsidP="00D27029">
      <w:pPr>
        <w:numPr>
          <w:ilvl w:val="0"/>
          <w:numId w:val="7"/>
        </w:numPr>
        <w:ind w:right="54"/>
        <w:contextualSpacing/>
        <w:rPr>
          <w:rFonts w:ascii="Arial" w:hAnsi="Arial" w:cs="Arial"/>
          <w:bCs/>
          <w:color w:val="000000" w:themeColor="text1"/>
          <w:sz w:val="22"/>
          <w:szCs w:val="22"/>
        </w:rPr>
      </w:pPr>
      <w:r w:rsidRPr="003943C4">
        <w:rPr>
          <w:rFonts w:ascii="Arial" w:hAnsi="Arial" w:cs="Arial"/>
          <w:b/>
          <w:color w:val="000000" w:themeColor="text1"/>
          <w:sz w:val="22"/>
          <w:szCs w:val="22"/>
        </w:rPr>
        <w:t>Demand for home loans and refinancing drop</w:t>
      </w:r>
      <w:r w:rsidRPr="003943C4">
        <w:rPr>
          <w:rFonts w:ascii="Arial" w:hAnsi="Arial" w:cs="Arial"/>
          <w:bCs/>
          <w:color w:val="000000" w:themeColor="text1"/>
          <w:sz w:val="22"/>
          <w:szCs w:val="22"/>
        </w:rPr>
        <w:t>.</w:t>
      </w:r>
      <w:r w:rsidRPr="003943C4">
        <w:rPr>
          <w:rFonts w:ascii="Arial" w:hAnsi="Arial" w:cs="Arial"/>
          <w:b/>
          <w:color w:val="000000" w:themeColor="text1"/>
          <w:sz w:val="22"/>
          <w:szCs w:val="22"/>
        </w:rPr>
        <w:t xml:space="preserve"> </w:t>
      </w:r>
      <w:r w:rsidRPr="003943C4">
        <w:rPr>
          <w:rFonts w:ascii="Arial" w:hAnsi="Arial" w:cs="Arial"/>
          <w:bCs/>
          <w:color w:val="000000" w:themeColor="text1"/>
          <w:sz w:val="22"/>
          <w:szCs w:val="22"/>
        </w:rPr>
        <w:t xml:space="preserve">Last Friday, the rate on a 30-year fixed mortgage rose to 4.95 percent. That’s 1.64 percent higher than it was a year ago, reported Diana Olick of </w:t>
      </w:r>
      <w:r w:rsidRPr="003943C4">
        <w:rPr>
          <w:rFonts w:ascii="Arial" w:hAnsi="Arial" w:cs="Arial"/>
          <w:bCs/>
          <w:i/>
          <w:iCs/>
          <w:color w:val="000000" w:themeColor="text1"/>
          <w:sz w:val="22"/>
          <w:szCs w:val="22"/>
        </w:rPr>
        <w:t>CNBC</w:t>
      </w:r>
      <w:r w:rsidRPr="003943C4">
        <w:rPr>
          <w:rFonts w:ascii="Arial" w:hAnsi="Arial" w:cs="Arial"/>
          <w:bCs/>
          <w:color w:val="000000" w:themeColor="text1"/>
          <w:sz w:val="22"/>
          <w:szCs w:val="22"/>
        </w:rPr>
        <w:t>.</w:t>
      </w:r>
    </w:p>
    <w:p w14:paraId="2AF84E23" w14:textId="77777777" w:rsidR="00D27029" w:rsidRPr="003943C4" w:rsidRDefault="00D27029" w:rsidP="00D27029">
      <w:pPr>
        <w:ind w:left="720" w:right="54"/>
        <w:contextualSpacing/>
        <w:rPr>
          <w:rFonts w:ascii="Arial" w:hAnsi="Arial" w:cs="Arial"/>
          <w:b/>
          <w:color w:val="000000" w:themeColor="text1"/>
          <w:sz w:val="22"/>
          <w:szCs w:val="22"/>
        </w:rPr>
      </w:pPr>
    </w:p>
    <w:p w14:paraId="12DA6F02" w14:textId="77777777" w:rsidR="00D27029" w:rsidRPr="003943C4" w:rsidRDefault="00D27029" w:rsidP="00D27029">
      <w:pPr>
        <w:ind w:left="720" w:right="54"/>
        <w:contextualSpacing/>
        <w:rPr>
          <w:rFonts w:ascii="Arial" w:hAnsi="Arial" w:cs="Arial"/>
          <w:bCs/>
          <w:color w:val="000000" w:themeColor="text1"/>
          <w:sz w:val="22"/>
          <w:szCs w:val="22"/>
        </w:rPr>
      </w:pPr>
      <w:r w:rsidRPr="003943C4">
        <w:rPr>
          <w:rFonts w:ascii="Arial" w:hAnsi="Arial" w:cs="Arial"/>
          <w:bCs/>
          <w:color w:val="000000" w:themeColor="text1"/>
          <w:sz w:val="22"/>
          <w:szCs w:val="22"/>
        </w:rPr>
        <w:t>One consequence of higher rates is likely to be lower demand for homes. Last week, applications for mortgages were down 12 percent from the prior year, and the number of home refinancing applications dropped, too.</w:t>
      </w:r>
    </w:p>
    <w:p w14:paraId="60E14E7B" w14:textId="77777777" w:rsidR="00D27029" w:rsidRPr="003943C4" w:rsidRDefault="00D27029" w:rsidP="00D27029">
      <w:pPr>
        <w:ind w:left="720" w:right="54"/>
        <w:contextualSpacing/>
        <w:rPr>
          <w:rFonts w:ascii="Arial" w:hAnsi="Arial" w:cs="Arial"/>
          <w:bCs/>
          <w:color w:val="000000" w:themeColor="text1"/>
          <w:sz w:val="22"/>
          <w:szCs w:val="22"/>
        </w:rPr>
      </w:pPr>
    </w:p>
    <w:p w14:paraId="3E8CABB6" w14:textId="77777777" w:rsidR="00D27029" w:rsidRPr="003943C4" w:rsidRDefault="00D27029" w:rsidP="00D27029">
      <w:pPr>
        <w:numPr>
          <w:ilvl w:val="0"/>
          <w:numId w:val="7"/>
        </w:numPr>
        <w:ind w:right="54"/>
        <w:contextualSpacing/>
        <w:rPr>
          <w:rFonts w:ascii="Arial" w:hAnsi="Arial" w:cs="Arial"/>
          <w:bCs/>
          <w:color w:val="000000" w:themeColor="text1"/>
          <w:sz w:val="22"/>
          <w:szCs w:val="22"/>
        </w:rPr>
      </w:pPr>
      <w:r w:rsidRPr="003943C4">
        <w:rPr>
          <w:rFonts w:ascii="Arial" w:hAnsi="Arial" w:cs="Arial"/>
          <w:b/>
          <w:color w:val="000000" w:themeColor="text1"/>
          <w:sz w:val="22"/>
          <w:szCs w:val="22"/>
        </w:rPr>
        <w:t>The cost of carrying credit card debt increases</w:t>
      </w:r>
      <w:r w:rsidRPr="003943C4">
        <w:rPr>
          <w:rFonts w:ascii="Arial" w:hAnsi="Arial" w:cs="Arial"/>
          <w:bCs/>
          <w:color w:val="000000" w:themeColor="text1"/>
          <w:sz w:val="22"/>
          <w:szCs w:val="22"/>
        </w:rPr>
        <w:t xml:space="preserve">. Last week, the average credit card rate rose from 16.17 percent to 16.25 percent, according to Kelly Dilworth of </w:t>
      </w:r>
      <w:r w:rsidRPr="003943C4">
        <w:rPr>
          <w:rFonts w:ascii="Arial" w:hAnsi="Arial" w:cs="Arial"/>
          <w:bCs/>
          <w:i/>
          <w:iCs/>
          <w:color w:val="000000" w:themeColor="text1"/>
          <w:sz w:val="22"/>
          <w:szCs w:val="22"/>
        </w:rPr>
        <w:t>CreditCards.co</w:t>
      </w:r>
      <w:r w:rsidRPr="003943C4">
        <w:rPr>
          <w:rFonts w:ascii="Arial" w:hAnsi="Arial" w:cs="Arial"/>
          <w:bCs/>
          <w:color w:val="000000" w:themeColor="text1"/>
          <w:sz w:val="22"/>
          <w:szCs w:val="22"/>
        </w:rPr>
        <w:t xml:space="preserve">m. That means carrying a balance is more costly – and that expense is likely to continue to increase every time the Fed raises rates. </w:t>
      </w:r>
    </w:p>
    <w:p w14:paraId="35A43597" w14:textId="77777777" w:rsidR="00D27029" w:rsidRPr="003943C4" w:rsidRDefault="00D27029" w:rsidP="00D27029">
      <w:pPr>
        <w:ind w:right="54"/>
        <w:rPr>
          <w:rFonts w:ascii="Arial" w:hAnsi="Arial" w:cs="Arial"/>
          <w:bCs/>
          <w:color w:val="000000" w:themeColor="text1"/>
          <w:sz w:val="22"/>
          <w:szCs w:val="22"/>
        </w:rPr>
      </w:pPr>
    </w:p>
    <w:p w14:paraId="77A8BED7" w14:textId="77777777" w:rsidR="00D27029" w:rsidRPr="003943C4" w:rsidRDefault="00D27029" w:rsidP="00D27029">
      <w:pPr>
        <w:ind w:right="54"/>
        <w:rPr>
          <w:rFonts w:ascii="Arial" w:hAnsi="Arial" w:cs="Arial"/>
          <w:color w:val="000000" w:themeColor="text1"/>
          <w:sz w:val="22"/>
          <w:szCs w:val="22"/>
        </w:rPr>
      </w:pPr>
      <w:r w:rsidRPr="003943C4">
        <w:rPr>
          <w:rFonts w:ascii="Arial" w:hAnsi="Arial" w:cs="Arial"/>
          <w:bCs/>
          <w:color w:val="000000" w:themeColor="text1"/>
          <w:sz w:val="22"/>
          <w:szCs w:val="22"/>
        </w:rPr>
        <w:t xml:space="preserve">Currently, the FOMC expects to raise the target rate range at each of its six meetings this year. If rates increase by a quarter point each time, rates could be significantly higher by the end of 2022, </w:t>
      </w:r>
      <w:r w:rsidRPr="003943C4">
        <w:rPr>
          <w:rFonts w:ascii="Arial" w:hAnsi="Arial" w:cs="Arial"/>
          <w:color w:val="000000" w:themeColor="text1"/>
          <w:sz w:val="22"/>
          <w:szCs w:val="22"/>
        </w:rPr>
        <w:t xml:space="preserve">reported Evie Liu of </w:t>
      </w:r>
      <w:r w:rsidRPr="003943C4">
        <w:rPr>
          <w:rFonts w:ascii="Arial" w:hAnsi="Arial" w:cs="Arial"/>
          <w:i/>
          <w:iCs/>
          <w:color w:val="000000" w:themeColor="text1"/>
          <w:sz w:val="22"/>
          <w:szCs w:val="22"/>
        </w:rPr>
        <w:t>Barron’s</w:t>
      </w:r>
      <w:r w:rsidRPr="003943C4">
        <w:rPr>
          <w:rFonts w:ascii="Arial" w:hAnsi="Arial" w:cs="Arial"/>
          <w:color w:val="000000" w:themeColor="text1"/>
          <w:sz w:val="22"/>
          <w:szCs w:val="22"/>
        </w:rPr>
        <w:t xml:space="preserve">. </w:t>
      </w:r>
    </w:p>
    <w:p w14:paraId="1FAE27E8" w14:textId="77777777" w:rsidR="00D27029" w:rsidRPr="003943C4" w:rsidRDefault="00D27029" w:rsidP="00D27029">
      <w:pPr>
        <w:ind w:right="54"/>
        <w:rPr>
          <w:rFonts w:ascii="Arial" w:hAnsi="Arial" w:cs="Arial"/>
          <w:color w:val="000000" w:themeColor="text1"/>
          <w:sz w:val="22"/>
          <w:szCs w:val="22"/>
        </w:rPr>
      </w:pPr>
    </w:p>
    <w:p w14:paraId="773DB509"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color w:val="000000" w:themeColor="text1"/>
          <w:sz w:val="22"/>
          <w:szCs w:val="22"/>
        </w:rPr>
        <w:t xml:space="preserve">Last week, major U.S. stock indices gained, reported Ben Levisohn of </w:t>
      </w:r>
      <w:r w:rsidRPr="003943C4">
        <w:rPr>
          <w:rFonts w:ascii="Arial" w:hAnsi="Arial" w:cs="Arial"/>
          <w:i/>
          <w:iCs/>
          <w:color w:val="000000" w:themeColor="text1"/>
          <w:sz w:val="22"/>
          <w:szCs w:val="22"/>
        </w:rPr>
        <w:t>Barron’s</w:t>
      </w:r>
      <w:r w:rsidRPr="003943C4">
        <w:rPr>
          <w:rFonts w:ascii="Arial" w:hAnsi="Arial" w:cs="Arial"/>
          <w:color w:val="000000" w:themeColor="text1"/>
          <w:sz w:val="22"/>
          <w:szCs w:val="22"/>
        </w:rPr>
        <w:t>.</w:t>
      </w:r>
    </w:p>
    <w:p w14:paraId="15571E99" w14:textId="77777777" w:rsidR="00D27029" w:rsidRPr="003943C4" w:rsidRDefault="00D27029" w:rsidP="00D27029">
      <w:pPr>
        <w:ind w:right="54"/>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27029" w:rsidRPr="003943C4" w14:paraId="7394A523"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7EAA"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color w:val="000000" w:themeColor="text1"/>
                <w:sz w:val="20"/>
                <w:szCs w:val="20"/>
              </w:rPr>
              <w:br w:type="page"/>
            </w:r>
            <w:r w:rsidRPr="003943C4">
              <w:rPr>
                <w:rFonts w:ascii="Arial" w:hAnsi="Arial" w:cs="Arial"/>
                <w:b/>
                <w:bCs/>
                <w:color w:val="000000" w:themeColor="text1"/>
                <w:sz w:val="20"/>
                <w:szCs w:val="20"/>
              </w:rPr>
              <w:t>Data as of 3/25/22</w:t>
            </w:r>
          </w:p>
        </w:tc>
        <w:tc>
          <w:tcPr>
            <w:tcW w:w="990" w:type="dxa"/>
            <w:tcBorders>
              <w:top w:val="single" w:sz="4" w:space="0" w:color="auto"/>
              <w:left w:val="nil"/>
              <w:bottom w:val="single" w:sz="4" w:space="0" w:color="auto"/>
              <w:right w:val="single" w:sz="4" w:space="0" w:color="auto"/>
            </w:tcBorders>
            <w:vAlign w:val="center"/>
          </w:tcPr>
          <w:p w14:paraId="34312A9B"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C56E5"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DE802E"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8E8619D"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F5BC72"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B3749" w14:textId="77777777" w:rsidR="00D27029" w:rsidRPr="003943C4" w:rsidRDefault="00D27029" w:rsidP="000978F2">
            <w:pPr>
              <w:ind w:right="54"/>
              <w:jc w:val="center"/>
              <w:rPr>
                <w:rFonts w:ascii="Arial" w:hAnsi="Arial" w:cs="Arial"/>
                <w:b/>
                <w:bCs/>
                <w:color w:val="000000" w:themeColor="text1"/>
                <w:sz w:val="20"/>
                <w:szCs w:val="20"/>
              </w:rPr>
            </w:pPr>
            <w:r w:rsidRPr="003943C4">
              <w:rPr>
                <w:rFonts w:ascii="Arial" w:hAnsi="Arial" w:cs="Arial"/>
                <w:b/>
                <w:bCs/>
                <w:color w:val="000000" w:themeColor="text1"/>
                <w:sz w:val="20"/>
                <w:szCs w:val="20"/>
              </w:rPr>
              <w:t>10-Year</w:t>
            </w:r>
          </w:p>
        </w:tc>
      </w:tr>
      <w:tr w:rsidR="00D27029" w:rsidRPr="003943C4" w14:paraId="7A12865D" w14:textId="77777777" w:rsidTr="000978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89023B5" w14:textId="77777777" w:rsidR="00D27029" w:rsidRPr="003943C4" w:rsidRDefault="00D27029" w:rsidP="000978F2">
            <w:pPr>
              <w:ind w:right="54"/>
              <w:rPr>
                <w:rFonts w:ascii="Arial" w:hAnsi="Arial" w:cs="Arial"/>
                <w:color w:val="000000" w:themeColor="text1"/>
                <w:sz w:val="20"/>
                <w:szCs w:val="20"/>
              </w:rPr>
            </w:pPr>
            <w:r w:rsidRPr="003943C4">
              <w:rPr>
                <w:rFonts w:ascii="Arial" w:hAnsi="Arial" w:cs="Arial"/>
                <w:color w:val="000000" w:themeColor="text1"/>
                <w:sz w:val="20"/>
                <w:szCs w:val="20"/>
              </w:rPr>
              <w:t>Standard &amp; Poor's 500 Index</w:t>
            </w:r>
          </w:p>
        </w:tc>
        <w:tc>
          <w:tcPr>
            <w:tcW w:w="990" w:type="dxa"/>
            <w:tcBorders>
              <w:top w:val="single" w:sz="4" w:space="0" w:color="auto"/>
              <w:left w:val="nil"/>
              <w:bottom w:val="single" w:sz="4" w:space="0" w:color="auto"/>
              <w:right w:val="single" w:sz="4" w:space="0" w:color="auto"/>
            </w:tcBorders>
            <w:vAlign w:val="center"/>
          </w:tcPr>
          <w:p w14:paraId="3CB69120"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1.8%</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2EA3F35"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-4.7%</w:t>
            </w:r>
          </w:p>
        </w:tc>
        <w:tc>
          <w:tcPr>
            <w:tcW w:w="990" w:type="dxa"/>
            <w:tcBorders>
              <w:top w:val="nil"/>
              <w:left w:val="nil"/>
              <w:bottom w:val="single" w:sz="4" w:space="0" w:color="auto"/>
              <w:right w:val="single" w:sz="4" w:space="0" w:color="auto"/>
            </w:tcBorders>
            <w:shd w:val="clear" w:color="auto" w:fill="auto"/>
            <w:noWrap/>
            <w:vAlign w:val="center"/>
          </w:tcPr>
          <w:p w14:paraId="2F87B224"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16.2%</w:t>
            </w:r>
          </w:p>
        </w:tc>
        <w:tc>
          <w:tcPr>
            <w:tcW w:w="900" w:type="dxa"/>
            <w:tcBorders>
              <w:top w:val="single" w:sz="4" w:space="0" w:color="auto"/>
              <w:left w:val="nil"/>
              <w:bottom w:val="single" w:sz="4" w:space="0" w:color="auto"/>
              <w:right w:val="single" w:sz="4" w:space="0" w:color="auto"/>
            </w:tcBorders>
            <w:shd w:val="clear" w:color="auto" w:fill="auto"/>
            <w:vAlign w:val="center"/>
          </w:tcPr>
          <w:p w14:paraId="03C9D969"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17.5%</w:t>
            </w:r>
          </w:p>
        </w:tc>
        <w:tc>
          <w:tcPr>
            <w:tcW w:w="900" w:type="dxa"/>
            <w:tcBorders>
              <w:top w:val="nil"/>
              <w:left w:val="single" w:sz="4" w:space="0" w:color="auto"/>
              <w:bottom w:val="single" w:sz="4" w:space="0" w:color="auto"/>
              <w:right w:val="single" w:sz="4" w:space="0" w:color="auto"/>
            </w:tcBorders>
            <w:shd w:val="clear" w:color="auto" w:fill="auto"/>
            <w:vAlign w:val="center"/>
          </w:tcPr>
          <w:p w14:paraId="71A64BD0"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14.2%</w:t>
            </w:r>
          </w:p>
        </w:tc>
        <w:tc>
          <w:tcPr>
            <w:tcW w:w="1080" w:type="dxa"/>
            <w:tcBorders>
              <w:top w:val="nil"/>
              <w:left w:val="single" w:sz="4" w:space="0" w:color="auto"/>
              <w:bottom w:val="single" w:sz="4" w:space="0" w:color="auto"/>
              <w:right w:val="single" w:sz="4" w:space="0" w:color="auto"/>
            </w:tcBorders>
            <w:shd w:val="clear" w:color="auto" w:fill="auto"/>
            <w:vAlign w:val="center"/>
          </w:tcPr>
          <w:p w14:paraId="13B74D05"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12.4%</w:t>
            </w:r>
          </w:p>
        </w:tc>
      </w:tr>
      <w:tr w:rsidR="00D27029" w:rsidRPr="003943C4" w14:paraId="1BC99828"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99DEA" w14:textId="77777777" w:rsidR="00D27029" w:rsidRPr="003943C4" w:rsidRDefault="00D27029" w:rsidP="000978F2">
            <w:pPr>
              <w:ind w:right="54"/>
              <w:rPr>
                <w:rFonts w:ascii="Arial" w:hAnsi="Arial" w:cs="Arial"/>
                <w:color w:val="000000" w:themeColor="text1"/>
                <w:sz w:val="20"/>
                <w:szCs w:val="20"/>
              </w:rPr>
            </w:pPr>
            <w:r w:rsidRPr="003943C4">
              <w:rPr>
                <w:rFonts w:ascii="Arial" w:hAnsi="Arial" w:cs="Arial"/>
                <w:color w:val="000000" w:themeColor="text1"/>
                <w:sz w:val="20"/>
                <w:szCs w:val="20"/>
              </w:rPr>
              <w:lastRenderedPageBreak/>
              <w:t>Dow Jones Global ex-U.S. Index</w:t>
            </w:r>
          </w:p>
        </w:tc>
        <w:tc>
          <w:tcPr>
            <w:tcW w:w="990" w:type="dxa"/>
            <w:tcBorders>
              <w:top w:val="single" w:sz="4" w:space="0" w:color="auto"/>
              <w:left w:val="nil"/>
              <w:bottom w:val="single" w:sz="4" w:space="0" w:color="auto"/>
              <w:right w:val="single" w:sz="4" w:space="0" w:color="auto"/>
            </w:tcBorders>
            <w:vAlign w:val="center"/>
          </w:tcPr>
          <w:p w14:paraId="72EBE4DC"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7B75E"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-7.2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027D45"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-3.8</w:t>
            </w:r>
          </w:p>
        </w:tc>
        <w:tc>
          <w:tcPr>
            <w:tcW w:w="900" w:type="dxa"/>
            <w:tcBorders>
              <w:top w:val="single" w:sz="4" w:space="0" w:color="auto"/>
              <w:left w:val="nil"/>
              <w:bottom w:val="single" w:sz="4" w:space="0" w:color="auto"/>
              <w:right w:val="single" w:sz="4" w:space="0" w:color="auto"/>
            </w:tcBorders>
            <w:shd w:val="clear" w:color="auto" w:fill="auto"/>
            <w:vAlign w:val="center"/>
          </w:tcPr>
          <w:p w14:paraId="7F8C9E06"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9743D7"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126C17"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3.1</w:t>
            </w:r>
          </w:p>
        </w:tc>
      </w:tr>
      <w:tr w:rsidR="00D27029" w:rsidRPr="003943C4" w14:paraId="1F60CECF"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FC4B" w14:textId="77777777" w:rsidR="00D27029" w:rsidRPr="003943C4" w:rsidRDefault="00D27029" w:rsidP="000978F2">
            <w:pPr>
              <w:ind w:right="54"/>
              <w:rPr>
                <w:rFonts w:ascii="Arial" w:hAnsi="Arial" w:cs="Arial"/>
                <w:color w:val="000000" w:themeColor="text1"/>
                <w:sz w:val="20"/>
                <w:szCs w:val="20"/>
              </w:rPr>
            </w:pPr>
            <w:r w:rsidRPr="003943C4">
              <w:rPr>
                <w:rFonts w:ascii="Arial" w:hAnsi="Arial" w:cs="Arial"/>
                <w:color w:val="000000" w:themeColor="text1"/>
                <w:sz w:val="20"/>
                <w:szCs w:val="20"/>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88180D8"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AFC4"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BBCF1D"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18056E5E"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67D608"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8AA820"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2.2</w:t>
            </w:r>
          </w:p>
        </w:tc>
      </w:tr>
      <w:tr w:rsidR="00D27029" w:rsidRPr="003943C4" w14:paraId="4D0EB84C"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A65A" w14:textId="77777777" w:rsidR="00D27029" w:rsidRPr="003943C4" w:rsidRDefault="00D27029" w:rsidP="000978F2">
            <w:pPr>
              <w:ind w:right="54"/>
              <w:rPr>
                <w:rFonts w:ascii="Arial" w:hAnsi="Arial" w:cs="Arial"/>
                <w:color w:val="000000" w:themeColor="text1"/>
                <w:sz w:val="20"/>
                <w:szCs w:val="20"/>
              </w:rPr>
            </w:pPr>
            <w:r w:rsidRPr="003943C4">
              <w:rPr>
                <w:rFonts w:ascii="Arial" w:hAnsi="Arial" w:cs="Arial"/>
                <w:color w:val="000000" w:themeColor="text1"/>
                <w:sz w:val="20"/>
                <w:szCs w:val="20"/>
              </w:rPr>
              <w:t>Gold (per ounce)</w:t>
            </w:r>
          </w:p>
        </w:tc>
        <w:tc>
          <w:tcPr>
            <w:tcW w:w="990" w:type="dxa"/>
            <w:tcBorders>
              <w:top w:val="single" w:sz="4" w:space="0" w:color="auto"/>
              <w:left w:val="nil"/>
              <w:bottom w:val="single" w:sz="4" w:space="0" w:color="auto"/>
              <w:right w:val="single" w:sz="4" w:space="0" w:color="auto"/>
            </w:tcBorders>
            <w:vAlign w:val="center"/>
          </w:tcPr>
          <w:p w14:paraId="47FCABA7"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20128"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032D0E"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12.5</w:t>
            </w:r>
          </w:p>
        </w:tc>
        <w:tc>
          <w:tcPr>
            <w:tcW w:w="900" w:type="dxa"/>
            <w:tcBorders>
              <w:top w:val="single" w:sz="4" w:space="0" w:color="auto"/>
              <w:left w:val="nil"/>
              <w:bottom w:val="single" w:sz="4" w:space="0" w:color="auto"/>
              <w:right w:val="single" w:sz="4" w:space="0" w:color="auto"/>
            </w:tcBorders>
            <w:shd w:val="clear" w:color="auto" w:fill="auto"/>
            <w:vAlign w:val="center"/>
          </w:tcPr>
          <w:p w14:paraId="60E43D89"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19AD9A"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25B7F4"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1.5</w:t>
            </w:r>
          </w:p>
        </w:tc>
      </w:tr>
      <w:tr w:rsidR="00D27029" w:rsidRPr="003943C4" w14:paraId="3FFA96B0"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11F57" w14:textId="77777777" w:rsidR="00D27029" w:rsidRPr="003943C4" w:rsidRDefault="00D27029" w:rsidP="000978F2">
            <w:pPr>
              <w:ind w:right="54"/>
              <w:rPr>
                <w:rFonts w:ascii="Arial" w:hAnsi="Arial" w:cs="Arial"/>
                <w:color w:val="000000" w:themeColor="text1"/>
                <w:sz w:val="20"/>
                <w:szCs w:val="20"/>
              </w:rPr>
            </w:pPr>
            <w:r w:rsidRPr="003943C4">
              <w:rPr>
                <w:rFonts w:ascii="Arial" w:hAnsi="Arial" w:cs="Arial"/>
                <w:color w:val="000000" w:themeColor="text1"/>
                <w:sz w:val="20"/>
                <w:szCs w:val="20"/>
              </w:rPr>
              <w:t>Bloomberg Commodity Index</w:t>
            </w:r>
          </w:p>
        </w:tc>
        <w:tc>
          <w:tcPr>
            <w:tcW w:w="990" w:type="dxa"/>
            <w:tcBorders>
              <w:top w:val="single" w:sz="4" w:space="0" w:color="auto"/>
              <w:left w:val="nil"/>
              <w:bottom w:val="single" w:sz="4" w:space="0" w:color="auto"/>
              <w:right w:val="single" w:sz="4" w:space="0" w:color="auto"/>
            </w:tcBorders>
            <w:vAlign w:val="center"/>
          </w:tcPr>
          <w:p w14:paraId="33DC1D61"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5.3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E4BD"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30.9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D6D99C"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56.5</w:t>
            </w:r>
          </w:p>
        </w:tc>
        <w:tc>
          <w:tcPr>
            <w:tcW w:w="900" w:type="dxa"/>
            <w:tcBorders>
              <w:top w:val="single" w:sz="4" w:space="0" w:color="auto"/>
              <w:left w:val="nil"/>
              <w:bottom w:val="single" w:sz="4" w:space="0" w:color="auto"/>
              <w:right w:val="single" w:sz="4" w:space="0" w:color="auto"/>
            </w:tcBorders>
            <w:shd w:val="clear" w:color="auto" w:fill="auto"/>
            <w:vAlign w:val="center"/>
          </w:tcPr>
          <w:p w14:paraId="5067234B"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C1C41F"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DA4DD" w14:textId="77777777" w:rsidR="00D27029" w:rsidRPr="003943C4" w:rsidRDefault="00D27029" w:rsidP="000978F2">
            <w:pPr>
              <w:ind w:right="54"/>
              <w:jc w:val="center"/>
              <w:rPr>
                <w:rFonts w:ascii="Arial" w:hAnsi="Arial" w:cs="Arial"/>
                <w:color w:val="000000" w:themeColor="text1"/>
                <w:sz w:val="20"/>
                <w:szCs w:val="20"/>
              </w:rPr>
            </w:pPr>
            <w:r w:rsidRPr="003943C4">
              <w:rPr>
                <w:rFonts w:ascii="Arial" w:hAnsi="Arial" w:cs="Arial"/>
                <w:color w:val="000000" w:themeColor="text1"/>
                <w:sz w:val="20"/>
                <w:szCs w:val="20"/>
              </w:rPr>
              <w:t>-1.0</w:t>
            </w:r>
          </w:p>
        </w:tc>
      </w:tr>
    </w:tbl>
    <w:p w14:paraId="0B73C711" w14:textId="77777777" w:rsidR="00D27029" w:rsidRPr="003943C4" w:rsidRDefault="00D27029" w:rsidP="00D27029">
      <w:pPr>
        <w:ind w:right="54"/>
        <w:rPr>
          <w:rFonts w:ascii="Arial" w:hAnsi="Arial" w:cs="Arial"/>
          <w:color w:val="000000" w:themeColor="text1"/>
          <w:sz w:val="18"/>
          <w:szCs w:val="18"/>
        </w:rPr>
      </w:pPr>
      <w:r w:rsidRPr="003943C4">
        <w:rPr>
          <w:rFonts w:ascii="Arial" w:hAnsi="Arial" w:cs="Arial"/>
          <w:color w:val="000000" w:themeColor="text1"/>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3A88494" w14:textId="77777777" w:rsidR="00D27029" w:rsidRPr="003943C4" w:rsidRDefault="00D27029" w:rsidP="00D27029">
      <w:pPr>
        <w:ind w:right="54"/>
        <w:rPr>
          <w:rFonts w:ascii="Arial" w:hAnsi="Arial" w:cs="Arial"/>
          <w:color w:val="000000" w:themeColor="text1"/>
          <w:sz w:val="18"/>
          <w:szCs w:val="18"/>
        </w:rPr>
      </w:pPr>
      <w:r w:rsidRPr="003943C4">
        <w:rPr>
          <w:rFonts w:ascii="Arial" w:hAnsi="Arial" w:cs="Arial"/>
          <w:color w:val="000000" w:themeColor="text1"/>
          <w:sz w:val="18"/>
          <w:szCs w:val="18"/>
        </w:rPr>
        <w:t>Sources: Yahoo! Finance; MarketWatch; djindexes.com; U.S. Treasury; London Bullion Market Association.</w:t>
      </w:r>
    </w:p>
    <w:p w14:paraId="22F324D1" w14:textId="77777777" w:rsidR="00D27029" w:rsidRPr="003943C4" w:rsidRDefault="00D27029" w:rsidP="00D27029">
      <w:pPr>
        <w:ind w:right="54"/>
        <w:rPr>
          <w:rFonts w:ascii="Arial" w:hAnsi="Arial" w:cs="Arial"/>
          <w:color w:val="000000" w:themeColor="text1"/>
          <w:sz w:val="18"/>
          <w:szCs w:val="18"/>
        </w:rPr>
      </w:pPr>
      <w:r w:rsidRPr="003943C4">
        <w:rPr>
          <w:rFonts w:ascii="Arial" w:hAnsi="Arial" w:cs="Arial"/>
          <w:color w:val="000000" w:themeColor="text1"/>
          <w:sz w:val="18"/>
          <w:szCs w:val="18"/>
        </w:rPr>
        <w:t>Past performance is no guarantee of future results. Indices are unmanaged and cannot be invested into directly. N/A means not applicable.</w:t>
      </w:r>
    </w:p>
    <w:p w14:paraId="64D833ED" w14:textId="77777777" w:rsidR="00D27029" w:rsidRPr="00B65F03" w:rsidRDefault="00D27029" w:rsidP="00D27029">
      <w:pPr>
        <w:ind w:right="54"/>
        <w:rPr>
          <w:rFonts w:ascii="Arial" w:hAnsi="Arial" w:cs="Arial"/>
          <w:color w:val="000000" w:themeColor="text1"/>
          <w:sz w:val="16"/>
          <w:szCs w:val="16"/>
        </w:rPr>
      </w:pPr>
    </w:p>
    <w:p w14:paraId="554CE84F"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b/>
          <w:color w:val="0D304A"/>
          <w:sz w:val="22"/>
          <w:szCs w:val="22"/>
        </w:rPr>
        <w:t>WHAT’S YOUR PARALLEL PARKING STRATEGY?</w:t>
      </w:r>
      <w:r w:rsidRPr="003943C4">
        <w:rPr>
          <w:rFonts w:ascii="Arial" w:hAnsi="Arial" w:cs="Arial"/>
          <w:bCs/>
          <w:color w:val="0D304A"/>
          <w:sz w:val="22"/>
          <w:szCs w:val="22"/>
        </w:rPr>
        <w:t xml:space="preserve"> </w:t>
      </w:r>
      <w:r w:rsidRPr="003943C4">
        <w:rPr>
          <w:rFonts w:ascii="Arial" w:hAnsi="Arial" w:cs="Arial"/>
          <w:bCs/>
          <w:color w:val="000000" w:themeColor="text1"/>
          <w:sz w:val="22"/>
          <w:szCs w:val="22"/>
        </w:rPr>
        <w:t xml:space="preserve">A new research study, discussed in the </w:t>
      </w:r>
      <w:r w:rsidRPr="003943C4">
        <w:rPr>
          <w:rFonts w:ascii="Arial" w:hAnsi="Arial" w:cs="Arial"/>
          <w:bCs/>
          <w:i/>
          <w:iCs/>
          <w:color w:val="000000" w:themeColor="text1"/>
          <w:sz w:val="22"/>
          <w:szCs w:val="22"/>
        </w:rPr>
        <w:t>Annals of Improbable Research</w:t>
      </w:r>
      <w:r w:rsidRPr="003943C4">
        <w:rPr>
          <w:rFonts w:ascii="Arial" w:hAnsi="Arial" w:cs="Arial"/>
          <w:bCs/>
          <w:color w:val="000000" w:themeColor="text1"/>
          <w:sz w:val="22"/>
          <w:szCs w:val="22"/>
        </w:rPr>
        <w:t>, recommends that drivers reconsider their parallel parking choices in densely populated areas.</w:t>
      </w:r>
    </w:p>
    <w:p w14:paraId="0278F70B" w14:textId="77777777" w:rsidR="00D27029" w:rsidRPr="00B65F03" w:rsidRDefault="00D27029" w:rsidP="00D27029">
      <w:pPr>
        <w:ind w:right="54"/>
        <w:rPr>
          <w:rFonts w:ascii="Arial" w:hAnsi="Arial" w:cs="Arial"/>
          <w:bCs/>
          <w:color w:val="000000" w:themeColor="text1"/>
          <w:sz w:val="16"/>
          <w:szCs w:val="16"/>
        </w:rPr>
      </w:pPr>
    </w:p>
    <w:p w14:paraId="75AA1A63" w14:textId="77777777" w:rsidR="00D27029" w:rsidRPr="003943C4" w:rsidRDefault="00D27029" w:rsidP="00D27029">
      <w:pPr>
        <w:ind w:right="54"/>
        <w:rPr>
          <w:rFonts w:ascii="Arial" w:hAnsi="Arial" w:cs="Arial"/>
          <w:color w:val="000000" w:themeColor="text1"/>
          <w:sz w:val="22"/>
          <w:szCs w:val="22"/>
          <w:shd w:val="clear" w:color="auto" w:fill="FFFFFF"/>
        </w:rPr>
      </w:pPr>
      <w:r w:rsidRPr="003943C4">
        <w:rPr>
          <w:rFonts w:ascii="Arial" w:hAnsi="Arial" w:cs="Arial"/>
          <w:bCs/>
          <w:color w:val="000000" w:themeColor="text1"/>
          <w:sz w:val="22"/>
          <w:szCs w:val="22"/>
        </w:rPr>
        <w:t>Limited street parking creates a variety of challenges for city planners. A dearth of parking may create opposition to bike lanes or new residential developments. In addition, it</w:t>
      </w:r>
      <w:r w:rsidRPr="003943C4">
        <w:rPr>
          <w:rFonts w:ascii="Arial" w:hAnsi="Arial" w:cs="Arial"/>
          <w:color w:val="000000" w:themeColor="text1"/>
          <w:sz w:val="22"/>
          <w:szCs w:val="22"/>
          <w:shd w:val="clear" w:color="auto" w:fill="FFFFFF"/>
        </w:rPr>
        <w:t xml:space="preserve"> can produce higher traffic volumes and greater greenhouse gas emissions when driving time is extended by the search for a parking place</w:t>
      </w:r>
      <w:r w:rsidRPr="003943C4">
        <w:rPr>
          <w:rFonts w:ascii="Arial" w:hAnsi="Arial" w:cs="Arial"/>
          <w:bCs/>
          <w:color w:val="000000" w:themeColor="text1"/>
          <w:sz w:val="22"/>
          <w:szCs w:val="22"/>
        </w:rPr>
        <w:t xml:space="preserve">, reported Dr. </w:t>
      </w:r>
      <w:r w:rsidRPr="003943C4">
        <w:rPr>
          <w:rFonts w:ascii="Arial" w:hAnsi="Arial" w:cs="Arial"/>
          <w:color w:val="000000" w:themeColor="text1"/>
          <w:sz w:val="22"/>
          <w:szCs w:val="22"/>
          <w:shd w:val="clear" w:color="auto" w:fill="FFFFFF"/>
        </w:rPr>
        <w:t xml:space="preserve">Benjy Marks of the University of Sydney and Dr. Emily Moylan of UNSW Sydney who authored </w:t>
      </w:r>
      <w:r w:rsidRPr="003943C4">
        <w:rPr>
          <w:rFonts w:ascii="Arial" w:hAnsi="Arial" w:cs="Arial"/>
          <w:i/>
          <w:iCs/>
          <w:color w:val="000000" w:themeColor="text1"/>
          <w:sz w:val="22"/>
          <w:szCs w:val="22"/>
          <w:shd w:val="clear" w:color="auto" w:fill="FFFFFF"/>
        </w:rPr>
        <w:t>Parallel Parking Vehicle Alignment Strategies</w:t>
      </w:r>
      <w:r w:rsidRPr="003943C4">
        <w:rPr>
          <w:rFonts w:ascii="Arial" w:hAnsi="Arial" w:cs="Arial"/>
          <w:color w:val="000000" w:themeColor="text1"/>
          <w:sz w:val="22"/>
          <w:szCs w:val="22"/>
          <w:shd w:val="clear" w:color="auto" w:fill="FFFFFF"/>
        </w:rPr>
        <w:t>. They explained:</w:t>
      </w:r>
    </w:p>
    <w:p w14:paraId="19C34D6B" w14:textId="77777777" w:rsidR="00D27029" w:rsidRPr="00B65F03" w:rsidRDefault="00D27029" w:rsidP="00D27029">
      <w:pPr>
        <w:ind w:right="54"/>
        <w:rPr>
          <w:rFonts w:ascii="Arial" w:hAnsi="Arial" w:cs="Arial"/>
          <w:color w:val="000000" w:themeColor="text1"/>
          <w:sz w:val="16"/>
          <w:szCs w:val="16"/>
          <w:shd w:val="clear" w:color="auto" w:fill="FFFFFF"/>
        </w:rPr>
      </w:pPr>
    </w:p>
    <w:p w14:paraId="747DB93D" w14:textId="77777777" w:rsidR="00D27029" w:rsidRPr="003943C4" w:rsidRDefault="00D27029" w:rsidP="00D27029">
      <w:pPr>
        <w:ind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 xml:space="preserve">“The alignment of vehicles within parallel parking spaces influences the efficiency of street parking. We numerically model the effect of vehicle-alignment strategy on the packing density over a range of block lengths. We investigate the effect of four strategies: </w:t>
      </w:r>
    </w:p>
    <w:p w14:paraId="16386248" w14:textId="77777777" w:rsidR="00D27029" w:rsidRPr="00B65F03" w:rsidRDefault="00D27029" w:rsidP="00D27029">
      <w:pPr>
        <w:ind w:right="54"/>
        <w:rPr>
          <w:rFonts w:ascii="Arial" w:hAnsi="Arial" w:cs="Arial"/>
          <w:color w:val="000000" w:themeColor="text1"/>
          <w:sz w:val="16"/>
          <w:szCs w:val="16"/>
          <w:shd w:val="clear" w:color="auto" w:fill="FFFFFF"/>
        </w:rPr>
      </w:pPr>
    </w:p>
    <w:p w14:paraId="0C1F2738" w14:textId="77777777" w:rsidR="00D27029" w:rsidRPr="003943C4" w:rsidRDefault="00D27029" w:rsidP="00D27029">
      <w:pPr>
        <w:ind w:left="720"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a) front of available space</w:t>
      </w:r>
    </w:p>
    <w:p w14:paraId="223058A0" w14:textId="77777777" w:rsidR="00D27029" w:rsidRPr="003943C4" w:rsidRDefault="00D27029" w:rsidP="00D27029">
      <w:pPr>
        <w:ind w:left="720"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b) either end of available space</w:t>
      </w:r>
    </w:p>
    <w:p w14:paraId="33C4BE54" w14:textId="77777777" w:rsidR="00D27029" w:rsidRPr="003943C4" w:rsidRDefault="00D27029" w:rsidP="00D27029">
      <w:pPr>
        <w:ind w:left="720"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c) middle of space</w:t>
      </w:r>
    </w:p>
    <w:p w14:paraId="1DC66BF1" w14:textId="77777777" w:rsidR="00D27029" w:rsidRPr="003943C4" w:rsidRDefault="00D27029" w:rsidP="00D27029">
      <w:pPr>
        <w:ind w:left="720"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d) randomly within the space</w:t>
      </w:r>
    </w:p>
    <w:p w14:paraId="6027C4B5" w14:textId="77777777" w:rsidR="00D27029" w:rsidRPr="00B65F03" w:rsidRDefault="00D27029" w:rsidP="00D27029">
      <w:pPr>
        <w:ind w:right="54"/>
        <w:rPr>
          <w:rFonts w:ascii="Arial" w:hAnsi="Arial" w:cs="Arial"/>
          <w:color w:val="000000" w:themeColor="text1"/>
          <w:sz w:val="16"/>
          <w:szCs w:val="16"/>
          <w:shd w:val="clear" w:color="auto" w:fill="FFFFFF"/>
        </w:rPr>
      </w:pPr>
    </w:p>
    <w:p w14:paraId="70B22A85" w14:textId="77777777" w:rsidR="00D27029" w:rsidRPr="003943C4" w:rsidRDefault="00D27029" w:rsidP="00D27029">
      <w:pPr>
        <w:ind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“The findings quantify the advantage of aligning vehicles at the ends of the available space…”</w:t>
      </w:r>
    </w:p>
    <w:p w14:paraId="7E161731" w14:textId="77777777" w:rsidR="00D27029" w:rsidRPr="00B65F03" w:rsidRDefault="00D27029" w:rsidP="00D27029">
      <w:pPr>
        <w:ind w:right="54"/>
        <w:rPr>
          <w:rFonts w:ascii="Arial" w:hAnsi="Arial" w:cs="Arial"/>
          <w:b/>
          <w:bCs/>
          <w:color w:val="000000" w:themeColor="text1"/>
          <w:sz w:val="16"/>
          <w:szCs w:val="16"/>
        </w:rPr>
      </w:pPr>
      <w:r w:rsidRPr="003943C4">
        <w:rPr>
          <w:rFonts w:ascii="Arial" w:hAnsi="Arial" w:cs="Arial"/>
          <w:color w:val="000000" w:themeColor="text1"/>
          <w:sz w:val="22"/>
          <w:szCs w:val="22"/>
          <w:shd w:val="clear" w:color="auto" w:fill="FFFFFF"/>
        </w:rPr>
        <w:t xml:space="preserve"> </w:t>
      </w:r>
    </w:p>
    <w:p w14:paraId="30849BC7"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bCs/>
          <w:color w:val="000000" w:themeColor="text1"/>
          <w:sz w:val="22"/>
          <w:szCs w:val="22"/>
        </w:rPr>
        <w:t xml:space="preserve">While the researchers’ findings may be valid, drivers who do not excel at parallel parking may find the idea of employing a specific parallel parking strategy to be wildly optimistic. </w:t>
      </w:r>
    </w:p>
    <w:p w14:paraId="6A58E733" w14:textId="77777777" w:rsidR="00D27029" w:rsidRPr="00B65F03" w:rsidRDefault="00D27029" w:rsidP="00D27029">
      <w:pPr>
        <w:ind w:right="54"/>
        <w:rPr>
          <w:rFonts w:ascii="Arial" w:hAnsi="Arial" w:cs="Arial"/>
          <w:bCs/>
          <w:color w:val="000000" w:themeColor="text1"/>
          <w:sz w:val="16"/>
          <w:szCs w:val="16"/>
        </w:rPr>
      </w:pPr>
    </w:p>
    <w:p w14:paraId="6FAA7B6C" w14:textId="77777777" w:rsidR="00D27029" w:rsidRPr="003943C4" w:rsidRDefault="00D27029" w:rsidP="00D27029">
      <w:pPr>
        <w:ind w:right="54"/>
        <w:rPr>
          <w:rFonts w:ascii="Arial" w:hAnsi="Arial" w:cs="Arial"/>
          <w:color w:val="000000" w:themeColor="text1"/>
          <w:sz w:val="22"/>
          <w:szCs w:val="22"/>
        </w:rPr>
      </w:pPr>
      <w:r w:rsidRPr="003943C4">
        <w:rPr>
          <w:rFonts w:ascii="Arial" w:hAnsi="Arial" w:cs="Arial"/>
          <w:bCs/>
          <w:color w:val="000000" w:themeColor="text1"/>
          <w:sz w:val="22"/>
          <w:szCs w:val="22"/>
        </w:rPr>
        <w:t xml:space="preserve">A recent survey found 49 percent of American drivers have </w:t>
      </w:r>
      <w:r w:rsidRPr="003943C4">
        <w:rPr>
          <w:rFonts w:ascii="Arial" w:hAnsi="Arial" w:cs="Arial"/>
          <w:color w:val="000000" w:themeColor="text1"/>
          <w:sz w:val="22"/>
          <w:szCs w:val="22"/>
        </w:rPr>
        <w:t xml:space="preserve">some degree of fear of parallel parking, which is a fairly complex driving maneuver. Taylor Covington of </w:t>
      </w:r>
      <w:r w:rsidRPr="003943C4">
        <w:rPr>
          <w:rFonts w:ascii="Arial" w:hAnsi="Arial" w:cs="Arial"/>
          <w:i/>
          <w:iCs/>
          <w:color w:val="000000" w:themeColor="text1"/>
          <w:sz w:val="22"/>
          <w:szCs w:val="22"/>
        </w:rPr>
        <w:t>The Zebra</w:t>
      </w:r>
      <w:r w:rsidRPr="003943C4">
        <w:rPr>
          <w:rFonts w:ascii="Arial" w:hAnsi="Arial" w:cs="Arial"/>
          <w:color w:val="000000" w:themeColor="text1"/>
          <w:sz w:val="22"/>
          <w:szCs w:val="22"/>
        </w:rPr>
        <w:t xml:space="preserve"> reported:</w:t>
      </w:r>
    </w:p>
    <w:p w14:paraId="7A4DCDA6" w14:textId="77777777" w:rsidR="00D27029" w:rsidRPr="00B65F03" w:rsidRDefault="00D27029" w:rsidP="00D27029">
      <w:pPr>
        <w:ind w:right="54"/>
        <w:rPr>
          <w:rFonts w:ascii="Arial" w:hAnsi="Arial" w:cs="Arial"/>
          <w:color w:val="000000" w:themeColor="text1"/>
          <w:sz w:val="16"/>
          <w:szCs w:val="16"/>
        </w:rPr>
      </w:pPr>
    </w:p>
    <w:p w14:paraId="15D75D68" w14:textId="77777777" w:rsidR="00D27029" w:rsidRPr="003943C4" w:rsidRDefault="00D27029" w:rsidP="00D27029">
      <w:pPr>
        <w:ind w:right="54"/>
        <w:rPr>
          <w:rFonts w:ascii="Arial" w:hAnsi="Arial" w:cs="Arial"/>
          <w:color w:val="000000" w:themeColor="text1"/>
          <w:sz w:val="22"/>
          <w:szCs w:val="22"/>
        </w:rPr>
      </w:pPr>
      <w:r w:rsidRPr="003943C4">
        <w:rPr>
          <w:rFonts w:ascii="Arial" w:hAnsi="Arial" w:cs="Arial"/>
          <w:color w:val="000000" w:themeColor="text1"/>
          <w:sz w:val="22"/>
          <w:szCs w:val="22"/>
        </w:rPr>
        <w:t xml:space="preserve">“Parallel parking spots are often located in areas where parking is limited. These areas are usually busy with pedestrians or other cars so, it increases the pressure to find and fit in a spot. That may explain why drivers reported that ‘holding up traffic’ was their biggest fear related to parallel parking. Other common concerns included hitting another car, getting blocked in, bystanders watching, and hitting the curb.” </w:t>
      </w:r>
    </w:p>
    <w:p w14:paraId="02271B41" w14:textId="77777777" w:rsidR="00D27029" w:rsidRPr="00B65F03" w:rsidRDefault="00D27029" w:rsidP="00D27029">
      <w:pPr>
        <w:ind w:right="54"/>
        <w:rPr>
          <w:rFonts w:ascii="Arial" w:hAnsi="Arial" w:cs="Arial"/>
          <w:bCs/>
          <w:color w:val="000000" w:themeColor="text1"/>
          <w:sz w:val="18"/>
          <w:szCs w:val="18"/>
        </w:rPr>
      </w:pPr>
    </w:p>
    <w:p w14:paraId="314D3021" w14:textId="77777777" w:rsidR="00D27029" w:rsidRPr="003943C4" w:rsidRDefault="00D27029" w:rsidP="00D27029">
      <w:pPr>
        <w:ind w:right="54"/>
        <w:rPr>
          <w:rFonts w:ascii="Arial" w:hAnsi="Arial" w:cs="Arial"/>
          <w:bCs/>
          <w:color w:val="000000" w:themeColor="text1"/>
          <w:sz w:val="22"/>
          <w:szCs w:val="22"/>
        </w:rPr>
      </w:pPr>
      <w:r w:rsidRPr="003943C4">
        <w:rPr>
          <w:rFonts w:ascii="Arial" w:hAnsi="Arial" w:cs="Arial"/>
          <w:bCs/>
          <w:color w:val="000000" w:themeColor="text1"/>
          <w:sz w:val="22"/>
          <w:szCs w:val="22"/>
        </w:rPr>
        <w:t>Perhaps self-parking cars will help.</w:t>
      </w:r>
    </w:p>
    <w:p w14:paraId="793C3F93" w14:textId="77777777" w:rsidR="00D27029" w:rsidRPr="003943C4" w:rsidRDefault="00D27029" w:rsidP="00D27029">
      <w:pPr>
        <w:ind w:right="54"/>
        <w:rPr>
          <w:rFonts w:ascii="Arial" w:hAnsi="Arial" w:cs="Arial"/>
          <w:b/>
          <w:bCs/>
          <w:color w:val="000000" w:themeColor="text1"/>
          <w:sz w:val="22"/>
          <w:szCs w:val="22"/>
        </w:rPr>
      </w:pPr>
    </w:p>
    <w:p w14:paraId="175FD63A" w14:textId="77777777" w:rsidR="00D27029" w:rsidRPr="003943C4" w:rsidRDefault="00D27029" w:rsidP="00D27029">
      <w:pPr>
        <w:ind w:right="54"/>
        <w:rPr>
          <w:rFonts w:ascii="Arial" w:hAnsi="Arial" w:cs="Arial"/>
          <w:b/>
          <w:bCs/>
          <w:color w:val="0D304A"/>
          <w:sz w:val="28"/>
          <w:szCs w:val="28"/>
        </w:rPr>
      </w:pPr>
      <w:r w:rsidRPr="003943C4">
        <w:rPr>
          <w:rFonts w:ascii="Arial" w:hAnsi="Arial" w:cs="Arial"/>
          <w:b/>
          <w:bCs/>
          <w:color w:val="0D304A"/>
          <w:sz w:val="28"/>
          <w:szCs w:val="28"/>
        </w:rPr>
        <w:t xml:space="preserve">Weekly Focus – Think About It </w:t>
      </w:r>
    </w:p>
    <w:p w14:paraId="52AA313B" w14:textId="77777777" w:rsidR="00D27029" w:rsidRPr="003943C4" w:rsidRDefault="00D27029" w:rsidP="00D27029">
      <w:pPr>
        <w:ind w:right="54"/>
        <w:rPr>
          <w:rFonts w:ascii="Arial" w:hAnsi="Arial" w:cs="Arial"/>
          <w:color w:val="000000" w:themeColor="text1"/>
          <w:sz w:val="22"/>
          <w:szCs w:val="22"/>
          <w:shd w:val="clear" w:color="auto" w:fill="FFFFFF"/>
        </w:rPr>
      </w:pPr>
      <w:r w:rsidRPr="003943C4">
        <w:rPr>
          <w:rFonts w:ascii="Arial" w:hAnsi="Arial" w:cs="Arial"/>
          <w:color w:val="000000" w:themeColor="text1"/>
          <w:sz w:val="22"/>
          <w:szCs w:val="22"/>
          <w:shd w:val="clear" w:color="auto" w:fill="FFFFFF"/>
        </w:rPr>
        <w:t>“It takes time to create excellence. If it could be done quickly, more people would do it.”</w:t>
      </w:r>
    </w:p>
    <w:p w14:paraId="662F8D2E" w14:textId="77777777" w:rsidR="00D27029" w:rsidRPr="003943C4" w:rsidRDefault="00D27029" w:rsidP="00D27029">
      <w:pPr>
        <w:ind w:right="54"/>
        <w:jc w:val="right"/>
        <w:rPr>
          <w:rFonts w:ascii="Arial" w:hAnsi="Arial" w:cs="Arial"/>
          <w:i/>
          <w:iCs/>
          <w:color w:val="000000" w:themeColor="text1"/>
          <w:sz w:val="22"/>
          <w:szCs w:val="22"/>
          <w:shd w:val="clear" w:color="auto" w:fill="FFFFFF"/>
        </w:rPr>
      </w:pPr>
      <w:r w:rsidRPr="003943C4">
        <w:rPr>
          <w:rFonts w:ascii="Arial" w:hAnsi="Arial" w:cs="Arial"/>
          <w:i/>
          <w:iCs/>
          <w:color w:val="000000" w:themeColor="text1"/>
          <w:sz w:val="22"/>
          <w:szCs w:val="22"/>
          <w:shd w:val="clear" w:color="auto" w:fill="FFFFFF"/>
        </w:rPr>
        <w:t>--John Wooden, NCAA basketball coach</w:t>
      </w:r>
    </w:p>
    <w:p w14:paraId="49481B5E" w14:textId="77777777" w:rsidR="00D27029" w:rsidRPr="003943C4" w:rsidRDefault="00D27029" w:rsidP="00D27029">
      <w:pPr>
        <w:ind w:right="54"/>
        <w:jc w:val="right"/>
        <w:rPr>
          <w:rFonts w:ascii="Arial" w:hAnsi="Arial" w:cs="Arial"/>
          <w:i/>
          <w:iCs/>
          <w:color w:val="000000" w:themeColor="text1"/>
          <w:sz w:val="22"/>
          <w:szCs w:val="22"/>
        </w:rPr>
      </w:pPr>
    </w:p>
    <w:p w14:paraId="1ECE3025" w14:textId="58F62C51" w:rsidR="00B65F03" w:rsidRPr="00BA5F6A" w:rsidRDefault="0056229A" w:rsidP="00B65F03">
      <w:pPr>
        <w:ind w:right="-36"/>
        <w:rPr>
          <w:rFonts w:ascii="Arial" w:hAnsi="Arial" w:cs="Arial"/>
          <w:color w:val="000000"/>
          <w:sz w:val="22"/>
          <w:szCs w:val="22"/>
        </w:rPr>
      </w:pPr>
      <w:r w:rsidRPr="00BA5F6A">
        <w:rPr>
          <w:rFonts w:ascii="Arial" w:hAnsi="Arial" w:cs="Arial"/>
          <w:color w:val="000000"/>
          <w:sz w:val="22"/>
          <w:szCs w:val="22"/>
        </w:rPr>
        <w:t>Best regards,</w:t>
      </w:r>
    </w:p>
    <w:p w14:paraId="6719B0CA" w14:textId="77777777" w:rsidR="00B65F03" w:rsidRDefault="00B65F03" w:rsidP="00B65F0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FA01BCF" w14:textId="77777777" w:rsidR="00B65F03" w:rsidRDefault="00B65F03" w:rsidP="00B65F03">
      <w:pPr>
        <w:rPr>
          <w:rFonts w:ascii="Arial" w:hAnsi="Arial" w:cs="Arial"/>
          <w:sz w:val="22"/>
          <w:szCs w:val="22"/>
        </w:rPr>
      </w:pPr>
      <w:r>
        <w:rPr>
          <w:rFonts w:ascii="Arial" w:hAnsi="Arial" w:cs="Arial"/>
          <w:sz w:val="22"/>
          <w:szCs w:val="22"/>
        </w:rPr>
        <w:t>Securities offered through Commonwealth Financial, Member FINRA/SIPC.</w:t>
      </w:r>
    </w:p>
    <w:p w14:paraId="1C57B9A8" w14:textId="77777777" w:rsidR="00B65F03" w:rsidRDefault="00B65F03" w:rsidP="00B65F03">
      <w:pPr>
        <w:rPr>
          <w:rFonts w:ascii="Arial" w:hAnsi="Arial" w:cs="Arial"/>
          <w:color w:val="000000"/>
          <w:sz w:val="18"/>
          <w:szCs w:val="18"/>
        </w:rPr>
      </w:pPr>
      <w:r w:rsidRPr="00BA5F6A">
        <w:rPr>
          <w:rFonts w:ascii="Arial" w:hAnsi="Arial" w:cs="Arial"/>
          <w:color w:val="000000"/>
          <w:sz w:val="18"/>
          <w:szCs w:val="18"/>
        </w:rPr>
        <w:t> </w:t>
      </w:r>
    </w:p>
    <w:p w14:paraId="38292DC8" w14:textId="77777777" w:rsidR="00B65F03" w:rsidRDefault="00B65F03" w:rsidP="0056229A">
      <w:pPr>
        <w:ind w:right="-36"/>
        <w:rPr>
          <w:rFonts w:ascii="Arial" w:hAnsi="Arial" w:cs="Arial"/>
          <w:i/>
          <w:iCs/>
          <w:color w:val="212529"/>
          <w:sz w:val="22"/>
          <w:szCs w:val="22"/>
          <w:shd w:val="clear" w:color="auto" w:fill="FFFFFF"/>
        </w:rPr>
      </w:pPr>
    </w:p>
    <w:p w14:paraId="5A48D6E1" w14:textId="77777777" w:rsidR="00B65F03" w:rsidRPr="00B65F03" w:rsidRDefault="00B65F03" w:rsidP="0056229A">
      <w:pPr>
        <w:ind w:right="-36"/>
        <w:rPr>
          <w:rFonts w:ascii="Arial" w:hAnsi="Arial" w:cs="Arial"/>
          <w:color w:val="212529"/>
          <w:sz w:val="22"/>
          <w:szCs w:val="22"/>
          <w:shd w:val="clear" w:color="auto" w:fill="FFFFFF"/>
        </w:rPr>
      </w:pP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7ABBE218" w14:textId="77777777" w:rsidR="00D27029" w:rsidRPr="005576E4" w:rsidRDefault="00D27029" w:rsidP="00D27029">
      <w:pPr>
        <w:widowControl w:val="0"/>
        <w:adjustRightInd w:val="0"/>
        <w:ind w:right="54"/>
        <w:rPr>
          <w:rStyle w:val="Hyperlink"/>
          <w:rFonts w:ascii="Arial" w:hAnsi="Arial" w:cs="Arial"/>
          <w:color w:val="auto"/>
          <w:sz w:val="18"/>
          <w:szCs w:val="18"/>
          <w:u w:val="none"/>
        </w:rPr>
      </w:pPr>
      <w:r w:rsidRPr="005576E4">
        <w:rPr>
          <w:rFonts w:ascii="Arial" w:hAnsi="Arial" w:cs="Arial"/>
          <w:sz w:val="18"/>
          <w:szCs w:val="18"/>
        </w:rPr>
        <w:t>Sources:</w:t>
      </w:r>
    </w:p>
    <w:p w14:paraId="14DDA4B0" w14:textId="77777777" w:rsidR="00D27029" w:rsidRPr="005576E4" w:rsidRDefault="00B65F03" w:rsidP="00D27029">
      <w:pPr>
        <w:pStyle w:val="EndnoteText"/>
        <w:ind w:right="54"/>
        <w:rPr>
          <w:rFonts w:ascii="Arial" w:hAnsi="Arial" w:cs="Arial"/>
          <w:sz w:val="18"/>
          <w:szCs w:val="18"/>
        </w:rPr>
      </w:pPr>
      <w:hyperlink r:id="rId5" w:history="1">
        <w:r w:rsidR="00D27029" w:rsidRPr="005576E4">
          <w:rPr>
            <w:rStyle w:val="Hyperlink"/>
            <w:rFonts w:ascii="Arial" w:hAnsi="Arial" w:cs="Arial"/>
            <w:sz w:val="18"/>
            <w:szCs w:val="18"/>
          </w:rPr>
          <w:t>https://news.nationwide.com/031022-americans-feel-fed-should-do-more-to-address-inflation/</w:t>
        </w:r>
      </w:hyperlink>
    </w:p>
    <w:p w14:paraId="1603B20E" w14:textId="77777777" w:rsidR="00D27029" w:rsidRPr="005576E4" w:rsidRDefault="00B65F03" w:rsidP="00D27029">
      <w:pPr>
        <w:pStyle w:val="EndnoteText"/>
        <w:ind w:right="54"/>
        <w:rPr>
          <w:rFonts w:ascii="Arial" w:hAnsi="Arial" w:cs="Arial"/>
          <w:sz w:val="18"/>
          <w:szCs w:val="18"/>
        </w:rPr>
      </w:pPr>
      <w:hyperlink r:id="rId6" w:history="1">
        <w:r w:rsidR="00D27029" w:rsidRPr="005576E4">
          <w:rPr>
            <w:rStyle w:val="Hyperlink"/>
            <w:rFonts w:ascii="Arial" w:hAnsi="Arial" w:cs="Arial"/>
            <w:sz w:val="18"/>
            <w:szCs w:val="18"/>
          </w:rPr>
          <w:t>https://www.federalreserve.gov/newsevents/pressreleases/monetary20220316a.htm</w:t>
        </w:r>
      </w:hyperlink>
    </w:p>
    <w:p w14:paraId="26D28CD1" w14:textId="77777777" w:rsidR="00D27029" w:rsidRPr="005576E4" w:rsidRDefault="00B65F03" w:rsidP="00D27029">
      <w:pPr>
        <w:pStyle w:val="EndnoteText"/>
        <w:ind w:right="54"/>
        <w:rPr>
          <w:rFonts w:ascii="Arial" w:hAnsi="Arial" w:cs="Arial"/>
          <w:sz w:val="18"/>
          <w:szCs w:val="18"/>
        </w:rPr>
      </w:pPr>
      <w:hyperlink r:id="rId7" w:history="1">
        <w:r w:rsidR="00D27029" w:rsidRPr="005576E4">
          <w:rPr>
            <w:rStyle w:val="Hyperlink"/>
            <w:rFonts w:ascii="Arial" w:hAnsi="Arial" w:cs="Arial"/>
            <w:sz w:val="18"/>
            <w:szCs w:val="18"/>
          </w:rPr>
          <w:t>https://www.forbes.com/advisor/personal-finance/fed-increases-rates-first-time-since-2018/</w:t>
        </w:r>
      </w:hyperlink>
    </w:p>
    <w:p w14:paraId="7670FD92" w14:textId="77777777" w:rsidR="00D27029" w:rsidRPr="005576E4" w:rsidRDefault="00B65F03" w:rsidP="00D27029">
      <w:pPr>
        <w:pStyle w:val="EndnoteText"/>
        <w:ind w:right="54"/>
        <w:rPr>
          <w:rFonts w:ascii="Arial" w:hAnsi="Arial" w:cs="Arial"/>
          <w:sz w:val="18"/>
          <w:szCs w:val="18"/>
        </w:rPr>
      </w:pPr>
      <w:hyperlink r:id="rId8" w:history="1">
        <w:r w:rsidR="00D27029" w:rsidRPr="005576E4">
          <w:rPr>
            <w:rStyle w:val="Hyperlink"/>
            <w:rFonts w:ascii="Arial" w:hAnsi="Arial" w:cs="Arial"/>
            <w:sz w:val="18"/>
            <w:szCs w:val="18"/>
          </w:rPr>
          <w:t>https://home.treasury.gov/resource-center/data-chart-center/interest-rates/TextView?type=daily_treasury_yield_curve&amp;field_tdr_date_value_month=202203</w:t>
        </w:r>
      </w:hyperlink>
    </w:p>
    <w:p w14:paraId="67BCCD76" w14:textId="77777777" w:rsidR="00D27029" w:rsidRDefault="00B65F03" w:rsidP="00D27029">
      <w:pPr>
        <w:pStyle w:val="EndnoteText"/>
        <w:ind w:right="54"/>
        <w:rPr>
          <w:rFonts w:ascii="Arial" w:hAnsi="Arial" w:cs="Arial"/>
          <w:sz w:val="18"/>
          <w:szCs w:val="18"/>
        </w:rPr>
      </w:pPr>
      <w:hyperlink r:id="rId9" w:history="1">
        <w:r w:rsidR="00D27029" w:rsidRPr="005576E4">
          <w:rPr>
            <w:rStyle w:val="Hyperlink"/>
            <w:rFonts w:ascii="Arial" w:hAnsi="Arial" w:cs="Arial"/>
            <w:sz w:val="18"/>
            <w:szCs w:val="18"/>
          </w:rPr>
          <w:t>https://www.barrons.com/articles/stock-market-dow-nasdaq-sp500-bonds-51648254963?refsec=the-trader</w:t>
        </w:r>
      </w:hyperlink>
      <w:r w:rsidR="00D27029">
        <w:rPr>
          <w:rFonts w:ascii="Arial" w:hAnsi="Arial" w:cs="Arial"/>
          <w:sz w:val="18"/>
          <w:szCs w:val="18"/>
        </w:rPr>
        <w:t xml:space="preserve"> (</w:t>
      </w:r>
      <w:r w:rsidR="00D27029" w:rsidRPr="00C12FD0">
        <w:rPr>
          <w:rFonts w:ascii="Arial" w:hAnsi="Arial" w:cs="Arial"/>
          <w:i/>
          <w:iCs/>
          <w:sz w:val="18"/>
          <w:szCs w:val="18"/>
        </w:rPr>
        <w:t>or go to</w:t>
      </w:r>
      <w:r w:rsidR="00D27029">
        <w:rPr>
          <w:rFonts w:ascii="Arial" w:hAnsi="Arial" w:cs="Arial"/>
          <w:sz w:val="18"/>
          <w:szCs w:val="18"/>
        </w:rPr>
        <w:t xml:space="preserve"> </w:t>
      </w:r>
      <w:hyperlink r:id="rId10" w:history="1">
        <w:r w:rsidR="00D27029" w:rsidRPr="003C457D">
          <w:rPr>
            <w:rStyle w:val="Hyperlink"/>
            <w:rFonts w:ascii="Arial" w:hAnsi="Arial" w:cs="Arial"/>
            <w:sz w:val="18"/>
            <w:szCs w:val="18"/>
          </w:rPr>
          <w:t>https://resources.carsongroup.com/hubfs/WMC-Source/2022/03-28-22_Barrons-The_Stock_Market_Got_a_Big_Boost_From_the_Bond_Selloff-Footnote_5.pdf</w:t>
        </w:r>
      </w:hyperlink>
      <w:r w:rsidR="00D27029">
        <w:rPr>
          <w:rFonts w:ascii="Arial" w:hAnsi="Arial" w:cs="Arial"/>
          <w:sz w:val="18"/>
          <w:szCs w:val="18"/>
        </w:rPr>
        <w:t>)</w:t>
      </w:r>
    </w:p>
    <w:p w14:paraId="512318C9" w14:textId="77777777" w:rsidR="00D27029" w:rsidRPr="005576E4" w:rsidRDefault="00B65F03" w:rsidP="00D27029">
      <w:pPr>
        <w:pStyle w:val="EndnoteText"/>
        <w:ind w:right="54"/>
        <w:rPr>
          <w:rFonts w:ascii="Arial" w:hAnsi="Arial" w:cs="Arial"/>
          <w:sz w:val="18"/>
          <w:szCs w:val="18"/>
        </w:rPr>
      </w:pPr>
      <w:hyperlink r:id="rId11" w:history="1">
        <w:r w:rsidR="00D27029" w:rsidRPr="005576E4">
          <w:rPr>
            <w:rStyle w:val="Hyperlink"/>
            <w:rFonts w:ascii="Arial" w:hAnsi="Arial" w:cs="Arial"/>
            <w:sz w:val="18"/>
            <w:szCs w:val="18"/>
          </w:rPr>
          <w:t>https://www.cnbc.com/2022/03/25/mortgage-rate-soars-closer-to-5percent-in-its-second-huge-jump-this-week.html</w:t>
        </w:r>
      </w:hyperlink>
    </w:p>
    <w:p w14:paraId="4A7AA698" w14:textId="77777777" w:rsidR="00D27029" w:rsidRPr="005576E4" w:rsidRDefault="00B65F03" w:rsidP="00D27029">
      <w:pPr>
        <w:pStyle w:val="EndnoteText"/>
        <w:ind w:right="54"/>
        <w:rPr>
          <w:rFonts w:ascii="Arial" w:hAnsi="Arial" w:cs="Arial"/>
          <w:sz w:val="18"/>
          <w:szCs w:val="18"/>
        </w:rPr>
      </w:pPr>
      <w:hyperlink r:id="rId12" w:history="1">
        <w:r w:rsidR="00D27029" w:rsidRPr="005576E4">
          <w:rPr>
            <w:rStyle w:val="Hyperlink"/>
            <w:rFonts w:ascii="Arial" w:hAnsi="Arial" w:cs="Arial"/>
            <w:sz w:val="18"/>
            <w:szCs w:val="18"/>
          </w:rPr>
          <w:t>https://www.cnbc.com/2022/03/23/mortgage-refinance-demand-plunges-14percent-as-interest-rates-spike-higher.html</w:t>
        </w:r>
      </w:hyperlink>
    </w:p>
    <w:p w14:paraId="5E55EB4F" w14:textId="77777777" w:rsidR="00D27029" w:rsidRPr="005576E4" w:rsidRDefault="00B65F03" w:rsidP="00D27029">
      <w:pPr>
        <w:pStyle w:val="EndnoteText"/>
        <w:ind w:right="54"/>
        <w:rPr>
          <w:rFonts w:ascii="Arial" w:hAnsi="Arial" w:cs="Arial"/>
          <w:sz w:val="18"/>
          <w:szCs w:val="18"/>
        </w:rPr>
      </w:pPr>
      <w:hyperlink r:id="rId13" w:history="1">
        <w:r w:rsidR="00D27029" w:rsidRPr="005576E4">
          <w:rPr>
            <w:rStyle w:val="Hyperlink"/>
            <w:rFonts w:ascii="Arial" w:hAnsi="Arial" w:cs="Arial"/>
            <w:sz w:val="18"/>
            <w:szCs w:val="18"/>
          </w:rPr>
          <w:t>https://www.creditcards.com/news/rate-report/</w:t>
        </w:r>
      </w:hyperlink>
    </w:p>
    <w:p w14:paraId="21312A97" w14:textId="77777777" w:rsidR="00D27029" w:rsidRDefault="00B65F03" w:rsidP="00D27029">
      <w:pPr>
        <w:pStyle w:val="EndnoteText"/>
        <w:ind w:right="54"/>
        <w:rPr>
          <w:rFonts w:ascii="Arial" w:hAnsi="Arial" w:cs="Arial"/>
          <w:sz w:val="18"/>
          <w:szCs w:val="18"/>
        </w:rPr>
      </w:pPr>
      <w:hyperlink r:id="rId14" w:history="1">
        <w:r w:rsidR="00D27029" w:rsidRPr="005576E4">
          <w:rPr>
            <w:rStyle w:val="Hyperlink"/>
            <w:rFonts w:ascii="Arial" w:hAnsi="Arial" w:cs="Arial"/>
            <w:sz w:val="18"/>
            <w:szCs w:val="18"/>
          </w:rPr>
          <w:t>https://www.barrons.com/articles/federal-reserve-interest-rate-hikes-51648233547?mod=hp_LEADSUPP_2</w:t>
        </w:r>
      </w:hyperlink>
      <w:r w:rsidR="00D27029">
        <w:rPr>
          <w:rFonts w:ascii="Arial" w:hAnsi="Arial" w:cs="Arial"/>
          <w:sz w:val="18"/>
          <w:szCs w:val="18"/>
        </w:rPr>
        <w:t xml:space="preserve"> (</w:t>
      </w:r>
      <w:r w:rsidR="00D27029" w:rsidRPr="00C12FD0">
        <w:rPr>
          <w:rFonts w:ascii="Arial" w:hAnsi="Arial" w:cs="Arial"/>
          <w:i/>
          <w:iCs/>
          <w:sz w:val="18"/>
          <w:szCs w:val="18"/>
        </w:rPr>
        <w:t>or go to</w:t>
      </w:r>
      <w:r w:rsidR="00D27029">
        <w:rPr>
          <w:rFonts w:ascii="Arial" w:hAnsi="Arial" w:cs="Arial"/>
          <w:sz w:val="18"/>
          <w:szCs w:val="18"/>
        </w:rPr>
        <w:t xml:space="preserve"> </w:t>
      </w:r>
      <w:hyperlink r:id="rId15" w:history="1">
        <w:r w:rsidR="00D27029" w:rsidRPr="003C457D">
          <w:rPr>
            <w:rStyle w:val="Hyperlink"/>
            <w:rFonts w:ascii="Arial" w:hAnsi="Arial" w:cs="Arial"/>
            <w:sz w:val="18"/>
            <w:szCs w:val="18"/>
          </w:rPr>
          <w:t>https://resources.carsongroup.com/hubfs/WMC-Source/2022/03-28-22_Barrons-Its_Been_Two_Decades_Since_the_Fed_Has_Raised_Rates_Like_This-Footnote_9.pdf</w:t>
        </w:r>
      </w:hyperlink>
      <w:r w:rsidR="00D27029">
        <w:rPr>
          <w:rFonts w:ascii="Arial" w:hAnsi="Arial" w:cs="Arial"/>
          <w:sz w:val="18"/>
          <w:szCs w:val="18"/>
        </w:rPr>
        <w:t>)</w:t>
      </w:r>
    </w:p>
    <w:p w14:paraId="763BA41D" w14:textId="77777777" w:rsidR="00D27029" w:rsidRPr="005576E4" w:rsidRDefault="00B65F03" w:rsidP="00D27029">
      <w:pPr>
        <w:pStyle w:val="EndnoteText"/>
        <w:ind w:right="54"/>
        <w:rPr>
          <w:rFonts w:ascii="Arial" w:hAnsi="Arial" w:cs="Arial"/>
          <w:sz w:val="18"/>
          <w:szCs w:val="18"/>
        </w:rPr>
      </w:pPr>
      <w:hyperlink r:id="rId16" w:history="1">
        <w:r w:rsidR="00D27029" w:rsidRPr="005576E4">
          <w:rPr>
            <w:rStyle w:val="Hyperlink"/>
            <w:rFonts w:ascii="Arial" w:hAnsi="Arial" w:cs="Arial"/>
            <w:sz w:val="18"/>
            <w:szCs w:val="18"/>
          </w:rPr>
          <w:t>https://improbable.com/2022/03/25/comparing-formulas-for-parallel-parking/</w:t>
        </w:r>
      </w:hyperlink>
    </w:p>
    <w:p w14:paraId="6913F4C1" w14:textId="77777777" w:rsidR="00D27029" w:rsidRPr="005576E4" w:rsidRDefault="00B65F03" w:rsidP="00D27029">
      <w:pPr>
        <w:pStyle w:val="EndnoteText"/>
        <w:ind w:right="54"/>
        <w:rPr>
          <w:rFonts w:ascii="Arial" w:hAnsi="Arial" w:cs="Arial"/>
          <w:sz w:val="18"/>
          <w:szCs w:val="18"/>
        </w:rPr>
      </w:pPr>
      <w:hyperlink r:id="rId17" w:history="1">
        <w:r w:rsidR="00D27029" w:rsidRPr="005576E4">
          <w:rPr>
            <w:rStyle w:val="Hyperlink"/>
            <w:rFonts w:ascii="Arial" w:hAnsi="Arial" w:cs="Arial"/>
            <w:sz w:val="18"/>
            <w:szCs w:val="18"/>
          </w:rPr>
          <w:t>https://findingspress.org/article/33123-parallel-parking-vehicle-alignment-strategies</w:t>
        </w:r>
      </w:hyperlink>
    </w:p>
    <w:p w14:paraId="3DA172A5" w14:textId="77777777" w:rsidR="00D27029" w:rsidRPr="005576E4" w:rsidRDefault="00B65F03" w:rsidP="00D27029">
      <w:pPr>
        <w:pStyle w:val="EndnoteText"/>
        <w:ind w:right="54"/>
        <w:rPr>
          <w:rStyle w:val="Hyperlink"/>
          <w:rFonts w:ascii="Arial" w:hAnsi="Arial" w:cs="Arial"/>
          <w:sz w:val="18"/>
          <w:szCs w:val="18"/>
        </w:rPr>
      </w:pPr>
      <w:hyperlink r:id="rId18" w:history="1">
        <w:r w:rsidR="00D27029" w:rsidRPr="005576E4">
          <w:rPr>
            <w:rStyle w:val="Hyperlink"/>
            <w:rFonts w:ascii="Arial" w:hAnsi="Arial" w:cs="Arial"/>
            <w:sz w:val="18"/>
            <w:szCs w:val="18"/>
          </w:rPr>
          <w:t>https://www.thezebra.com/resources/driving/parallel-parking-fear-survey/</w:t>
        </w:r>
      </w:hyperlink>
    </w:p>
    <w:p w14:paraId="66C2295B" w14:textId="73DDF5B9" w:rsidR="00441CE6" w:rsidRPr="0021180B" w:rsidRDefault="00B65F03" w:rsidP="00D27029">
      <w:pPr>
        <w:pStyle w:val="EndnoteText"/>
        <w:ind w:right="54"/>
        <w:rPr>
          <w:rFonts w:ascii="Arial" w:hAnsi="Arial" w:cs="Arial"/>
          <w:sz w:val="18"/>
          <w:szCs w:val="18"/>
        </w:rPr>
      </w:pPr>
      <w:hyperlink r:id="rId19" w:history="1">
        <w:r w:rsidR="00D27029" w:rsidRPr="005576E4">
          <w:rPr>
            <w:rStyle w:val="Hyperlink"/>
            <w:rFonts w:ascii="Arial" w:hAnsi="Arial" w:cs="Arial"/>
            <w:sz w:val="18"/>
            <w:szCs w:val="18"/>
          </w:rPr>
          <w:t>https://www.thewoodeneffect.com/motivational-quotes/</w:t>
        </w:r>
      </w:hyperlink>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65F03"/>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B65F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resource-center/data-chart-center/interest-rates/TextView?type=daily_treasury_yield_curve&amp;field_tdr_date_value_month=202203" TargetMode="External"/><Relationship Id="rId13" Type="http://schemas.openxmlformats.org/officeDocument/2006/relationships/hyperlink" Target="https://www.creditcards.com/news/rate-report/" TargetMode="External"/><Relationship Id="rId18" Type="http://schemas.openxmlformats.org/officeDocument/2006/relationships/hyperlink" Target="https://www.thezebra.com/resources/driving/parallel-parking-fear-surve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orbes.com/advisor/personal-finance/fed-increases-rates-first-time-since-2018/" TargetMode="External"/><Relationship Id="rId12" Type="http://schemas.openxmlformats.org/officeDocument/2006/relationships/hyperlink" Target="https://www.cnbc.com/2022/03/23/mortgage-refinance-demand-plunges-14percent-as-interest-rates-spike-higher.html" TargetMode="External"/><Relationship Id="rId17" Type="http://schemas.openxmlformats.org/officeDocument/2006/relationships/hyperlink" Target="https://findingspress.org/article/33123-parallel-parking-vehicle-alignment-strategies" TargetMode="External"/><Relationship Id="rId2" Type="http://schemas.openxmlformats.org/officeDocument/2006/relationships/styles" Target="styles.xml"/><Relationship Id="rId16" Type="http://schemas.openxmlformats.org/officeDocument/2006/relationships/hyperlink" Target="https://improbable.com/2022/03/25/comparing-formulas-for-parallel-park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ederalreserve.gov/newsevents/pressreleases/monetary20220316a.htm" TargetMode="External"/><Relationship Id="rId11" Type="http://schemas.openxmlformats.org/officeDocument/2006/relationships/hyperlink" Target="https://www.cnbc.com/2022/03/25/mortgage-rate-soars-closer-to-5percent-in-its-second-huge-jump-this-week.html" TargetMode="External"/><Relationship Id="rId5" Type="http://schemas.openxmlformats.org/officeDocument/2006/relationships/hyperlink" Target="https://news.nationwide.com/031022-americans-feel-fed-should-do-more-to-address-inflation/" TargetMode="External"/><Relationship Id="rId15" Type="http://schemas.openxmlformats.org/officeDocument/2006/relationships/hyperlink" Target="https://resources.carsongroup.com/hubfs/WMC-Source/2022/03-28-22_Barrons-Its_Been_Two_Decades_Since_the_Fed_Has_Raised_Rates_Like_This-Footnote_9.pdf" TargetMode="External"/><Relationship Id="rId10" Type="http://schemas.openxmlformats.org/officeDocument/2006/relationships/hyperlink" Target="https://resources.carsongroup.com/hubfs/WMC-Source/2022/03-28-22_Barrons-The_Stock_Market_Got_a_Big_Boost_From_the_Bond_Selloff-Footnote_5.pdf" TargetMode="External"/><Relationship Id="rId19" Type="http://schemas.openxmlformats.org/officeDocument/2006/relationships/hyperlink" Target="https://www.thewoodeneffect.com/motivational-quotes/" TargetMode="External"/><Relationship Id="rId4" Type="http://schemas.openxmlformats.org/officeDocument/2006/relationships/webSettings" Target="webSettings.xml"/><Relationship Id="rId9" Type="http://schemas.openxmlformats.org/officeDocument/2006/relationships/hyperlink" Target="https://www.barrons.com/articles/stock-market-dow-nasdaq-sp500-bonds-51648254963?refsec=the-trader" TargetMode="External"/><Relationship Id="rId14" Type="http://schemas.openxmlformats.org/officeDocument/2006/relationships/hyperlink" Target="https://www.barrons.com/articles/federal-reserve-interest-rate-hikes-51648233547?mod=hp_LEADSUPP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2022-03-28T16:59:00Z</dcterms:created>
  <dcterms:modified xsi:type="dcterms:W3CDTF">2022-03-28T16:59:00Z</dcterms:modified>
</cp:coreProperties>
</file>