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EC199" w14:textId="77777777" w:rsidR="00CF6FF0" w:rsidRDefault="00CF6FF0" w:rsidP="008B61AE">
      <w:pPr>
        <w:tabs>
          <w:tab w:val="left" w:pos="8550"/>
        </w:tabs>
        <w:rPr>
          <w:rFonts w:ascii="Arial" w:hAnsi="Arial" w:cs="Arial"/>
          <w:b/>
          <w:bCs/>
          <w:color w:val="0D304A"/>
          <w:sz w:val="32"/>
          <w:szCs w:val="32"/>
        </w:rPr>
      </w:pPr>
    </w:p>
    <w:p w14:paraId="120C6348" w14:textId="77777777" w:rsidR="00617D6F" w:rsidRPr="0036086B" w:rsidRDefault="00617D6F" w:rsidP="00617D6F">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00498EDC" w14:textId="77777777" w:rsidR="00617D6F" w:rsidRPr="0036086B" w:rsidRDefault="00617D6F" w:rsidP="00617D6F">
      <w:pPr>
        <w:tabs>
          <w:tab w:val="left" w:pos="8550"/>
        </w:tabs>
        <w:jc w:val="center"/>
        <w:rPr>
          <w:rFonts w:ascii="Arial" w:hAnsi="Arial" w:cs="Arial"/>
          <w:b/>
          <w:bCs/>
          <w:color w:val="0D304A"/>
          <w:sz w:val="32"/>
          <w:szCs w:val="32"/>
        </w:rPr>
      </w:pPr>
      <w:r>
        <w:rPr>
          <w:rFonts w:ascii="Arial" w:hAnsi="Arial" w:cs="Arial"/>
          <w:b/>
          <w:bCs/>
          <w:color w:val="0D304A"/>
          <w:sz w:val="32"/>
          <w:szCs w:val="32"/>
        </w:rPr>
        <w:t>September 13</w:t>
      </w:r>
      <w:r w:rsidRPr="0036086B">
        <w:rPr>
          <w:rFonts w:ascii="Arial" w:hAnsi="Arial" w:cs="Arial"/>
          <w:b/>
          <w:bCs/>
          <w:color w:val="0D304A"/>
          <w:sz w:val="32"/>
          <w:szCs w:val="32"/>
        </w:rPr>
        <w:t>, 2021</w:t>
      </w:r>
    </w:p>
    <w:p w14:paraId="20FA4F43" w14:textId="77777777" w:rsidR="00617D6F" w:rsidRPr="0036086B" w:rsidRDefault="00617D6F" w:rsidP="00617D6F">
      <w:pPr>
        <w:tabs>
          <w:tab w:val="left" w:pos="8550"/>
        </w:tabs>
        <w:jc w:val="center"/>
        <w:rPr>
          <w:rFonts w:ascii="Arial" w:hAnsi="Arial" w:cs="Arial"/>
          <w:b/>
          <w:bCs/>
          <w:color w:val="639D3F"/>
          <w:sz w:val="32"/>
          <w:szCs w:val="32"/>
        </w:rPr>
      </w:pPr>
    </w:p>
    <w:p w14:paraId="3DBF7FCE" w14:textId="77777777" w:rsidR="00617D6F" w:rsidRPr="0036086B" w:rsidRDefault="00617D6F" w:rsidP="00617D6F">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696C81E" w14:textId="77777777" w:rsidR="00617D6F" w:rsidRDefault="00617D6F" w:rsidP="00617D6F">
      <w:pPr>
        <w:tabs>
          <w:tab w:val="left" w:pos="8550"/>
        </w:tabs>
        <w:rPr>
          <w:rFonts w:ascii="Arial" w:hAnsi="Arial" w:cs="Arial"/>
          <w:bCs/>
          <w:color w:val="000000" w:themeColor="text1"/>
        </w:rPr>
      </w:pPr>
    </w:p>
    <w:p w14:paraId="11880F47" w14:textId="1DBCF3C3" w:rsidR="00617D6F" w:rsidRDefault="00617D6F" w:rsidP="00617D6F">
      <w:pPr>
        <w:rPr>
          <w:rFonts w:ascii="Arial" w:hAnsi="Arial" w:cs="Arial"/>
          <w:bCs/>
          <w:color w:val="000000" w:themeColor="text1"/>
          <w:sz w:val="22"/>
          <w:szCs w:val="22"/>
        </w:rPr>
      </w:pPr>
      <w:r>
        <w:rPr>
          <w:rFonts w:ascii="Arial" w:hAnsi="Arial" w:cs="Arial"/>
          <w:bCs/>
          <w:color w:val="000000" w:themeColor="text1"/>
          <w:sz w:val="22"/>
          <w:szCs w:val="22"/>
        </w:rPr>
        <w:t xml:space="preserve">The Delta variant could take a toll </w:t>
      </w:r>
      <w:r w:rsidR="00BF6D32">
        <w:rPr>
          <w:rFonts w:ascii="Arial" w:hAnsi="Arial" w:cs="Arial"/>
          <w:bCs/>
          <w:color w:val="000000" w:themeColor="text1"/>
          <w:sz w:val="22"/>
          <w:szCs w:val="22"/>
        </w:rPr>
        <w:t>on</w:t>
      </w:r>
      <w:r>
        <w:rPr>
          <w:rFonts w:ascii="Arial" w:hAnsi="Arial" w:cs="Arial"/>
          <w:bCs/>
          <w:color w:val="000000" w:themeColor="text1"/>
          <w:sz w:val="22"/>
          <w:szCs w:val="22"/>
        </w:rPr>
        <w:t xml:space="preserve"> economic growth. </w:t>
      </w:r>
    </w:p>
    <w:p w14:paraId="2BBECB52" w14:textId="77777777" w:rsidR="00617D6F" w:rsidRDefault="00617D6F" w:rsidP="00617D6F">
      <w:pPr>
        <w:rPr>
          <w:rFonts w:ascii="Arial" w:hAnsi="Arial" w:cs="Arial"/>
          <w:bCs/>
          <w:color w:val="000000" w:themeColor="text1"/>
          <w:sz w:val="22"/>
          <w:szCs w:val="22"/>
        </w:rPr>
      </w:pPr>
    </w:p>
    <w:p w14:paraId="518AC8ED" w14:textId="74E04B37" w:rsidR="00617D6F" w:rsidRDefault="00617D6F" w:rsidP="00617D6F">
      <w:pPr>
        <w:rPr>
          <w:rFonts w:ascii="Arial" w:hAnsi="Arial" w:cs="Arial"/>
          <w:bCs/>
          <w:color w:val="000000" w:themeColor="text1"/>
          <w:sz w:val="22"/>
          <w:szCs w:val="22"/>
        </w:rPr>
      </w:pPr>
      <w:r>
        <w:rPr>
          <w:rFonts w:ascii="Arial" w:hAnsi="Arial" w:cs="Arial"/>
          <w:bCs/>
          <w:color w:val="000000" w:themeColor="text1"/>
          <w:sz w:val="22"/>
          <w:szCs w:val="22"/>
        </w:rPr>
        <w:t>There was some good news last week. The 7-day moving average of COVID-19 cases in the United States declined. The bad news was that the rate of infection remained about 99 percent higher than it was one year ago.</w:t>
      </w:r>
    </w:p>
    <w:p w14:paraId="544B1885" w14:textId="77777777" w:rsidR="00617D6F" w:rsidRDefault="00617D6F" w:rsidP="00617D6F">
      <w:pPr>
        <w:rPr>
          <w:rFonts w:ascii="Arial" w:hAnsi="Arial" w:cs="Arial"/>
          <w:bCs/>
          <w:color w:val="000000" w:themeColor="text1"/>
          <w:sz w:val="22"/>
          <w:szCs w:val="22"/>
        </w:rPr>
      </w:pPr>
    </w:p>
    <w:p w14:paraId="5FF879C9" w14:textId="67EC97AA" w:rsidR="00617D6F" w:rsidRDefault="00617D6F" w:rsidP="00617D6F">
      <w:pPr>
        <w:rPr>
          <w:rFonts w:ascii="Arial" w:hAnsi="Arial" w:cs="Arial"/>
          <w:bCs/>
          <w:color w:val="000000" w:themeColor="text1"/>
          <w:sz w:val="22"/>
          <w:szCs w:val="22"/>
        </w:rPr>
      </w:pPr>
      <w:r>
        <w:rPr>
          <w:rFonts w:ascii="Arial" w:hAnsi="Arial" w:cs="Arial"/>
          <w:bCs/>
          <w:color w:val="000000" w:themeColor="text1"/>
          <w:sz w:val="22"/>
          <w:szCs w:val="22"/>
        </w:rPr>
        <w:t xml:space="preserve">As Delta variant infections surged across the United States, expectations for economic growth dropped more sharply than anticipated. Lisa </w:t>
      </w:r>
      <w:proofErr w:type="spellStart"/>
      <w:r>
        <w:rPr>
          <w:rFonts w:ascii="Arial" w:hAnsi="Arial" w:cs="Arial"/>
          <w:bCs/>
          <w:color w:val="000000" w:themeColor="text1"/>
          <w:sz w:val="22"/>
          <w:szCs w:val="22"/>
        </w:rPr>
        <w:t>Beilfuss</w:t>
      </w:r>
      <w:proofErr w:type="spellEnd"/>
      <w:r>
        <w:rPr>
          <w:rFonts w:ascii="Arial" w:hAnsi="Arial" w:cs="Arial"/>
          <w:bCs/>
          <w:color w:val="000000" w:themeColor="text1"/>
          <w:sz w:val="22"/>
          <w:szCs w:val="22"/>
        </w:rPr>
        <w:t xml:space="preserve"> of </w:t>
      </w:r>
      <w:r w:rsidRPr="001A59BA">
        <w:rPr>
          <w:rFonts w:ascii="Arial" w:hAnsi="Arial" w:cs="Arial"/>
          <w:bCs/>
          <w:i/>
          <w:iCs/>
          <w:color w:val="000000" w:themeColor="text1"/>
          <w:sz w:val="22"/>
          <w:szCs w:val="22"/>
        </w:rPr>
        <w:t>Barron’s</w:t>
      </w:r>
      <w:r>
        <w:rPr>
          <w:rFonts w:ascii="Arial" w:hAnsi="Arial" w:cs="Arial"/>
          <w:bCs/>
          <w:color w:val="000000" w:themeColor="text1"/>
          <w:sz w:val="22"/>
          <w:szCs w:val="22"/>
        </w:rPr>
        <w:t xml:space="preserve"> reported on changes to third-quarter forecasts for U.S. gross domestic product (GDP) growth.</w:t>
      </w:r>
      <w:r w:rsidRPr="001A59BA">
        <w:rPr>
          <w:rFonts w:ascii="Arial" w:hAnsi="Arial" w:cs="Arial"/>
          <w:bCs/>
          <w:color w:val="000000" w:themeColor="text1"/>
          <w:sz w:val="22"/>
          <w:szCs w:val="22"/>
        </w:rPr>
        <w:t xml:space="preserve"> </w:t>
      </w:r>
    </w:p>
    <w:p w14:paraId="5A64FB32" w14:textId="77777777" w:rsidR="00617D6F" w:rsidRDefault="00617D6F" w:rsidP="00617D6F">
      <w:pPr>
        <w:rPr>
          <w:rFonts w:ascii="Arial" w:hAnsi="Arial" w:cs="Arial"/>
          <w:bCs/>
          <w:color w:val="000000" w:themeColor="text1"/>
          <w:sz w:val="22"/>
          <w:szCs w:val="22"/>
        </w:rPr>
      </w:pPr>
    </w:p>
    <w:p w14:paraId="6F058B92" w14:textId="6362A26C" w:rsidR="00617D6F" w:rsidRDefault="00617D6F" w:rsidP="00617D6F">
      <w:pPr>
        <w:rPr>
          <w:rFonts w:ascii="Arial" w:hAnsi="Arial" w:cs="Arial"/>
          <w:bCs/>
          <w:color w:val="000000" w:themeColor="text1"/>
          <w:sz w:val="22"/>
          <w:szCs w:val="22"/>
        </w:rPr>
      </w:pPr>
      <w:r>
        <w:rPr>
          <w:rFonts w:ascii="Arial" w:hAnsi="Arial" w:cs="Arial"/>
          <w:bCs/>
          <w:color w:val="000000" w:themeColor="text1"/>
          <w:sz w:val="22"/>
          <w:szCs w:val="22"/>
        </w:rPr>
        <w:t>“</w:t>
      </w:r>
      <w:r w:rsidRPr="003B374D">
        <w:rPr>
          <w:rFonts w:ascii="Arial" w:hAnsi="Arial" w:cs="Arial"/>
          <w:bCs/>
          <w:color w:val="000000" w:themeColor="text1"/>
          <w:sz w:val="22"/>
          <w:szCs w:val="22"/>
        </w:rPr>
        <w:t xml:space="preserve">Goldman Sachs cut its forecast to 3.5% from 5.25%, Oxford Economics revised its call to 2.7% from 6.5%, and Morgan Stanley lowered its estimate to 2.9% from 6.5%. That’s as the Atlanta Fed’s </w:t>
      </w:r>
      <w:proofErr w:type="spellStart"/>
      <w:r w:rsidRPr="003B374D">
        <w:rPr>
          <w:rFonts w:ascii="Arial" w:hAnsi="Arial" w:cs="Arial"/>
          <w:bCs/>
          <w:color w:val="000000" w:themeColor="text1"/>
          <w:sz w:val="22"/>
          <w:szCs w:val="22"/>
        </w:rPr>
        <w:t>GDPNow</w:t>
      </w:r>
      <w:proofErr w:type="spellEnd"/>
      <w:r w:rsidRPr="003B374D">
        <w:rPr>
          <w:rFonts w:ascii="Arial" w:hAnsi="Arial" w:cs="Arial"/>
          <w:bCs/>
          <w:color w:val="000000" w:themeColor="text1"/>
          <w:sz w:val="22"/>
          <w:szCs w:val="22"/>
        </w:rPr>
        <w:t xml:space="preserve"> model predicts 3.7% for the quarter, down from 5.3% at the start of the month</w:t>
      </w:r>
      <w:r>
        <w:rPr>
          <w:rFonts w:ascii="Arial" w:hAnsi="Arial" w:cs="Arial"/>
          <w:bCs/>
          <w:color w:val="000000" w:themeColor="text1"/>
          <w:sz w:val="22"/>
          <w:szCs w:val="22"/>
        </w:rPr>
        <w:t xml:space="preserve">,” </w:t>
      </w:r>
      <w:proofErr w:type="spellStart"/>
      <w:r>
        <w:rPr>
          <w:rFonts w:ascii="Arial" w:hAnsi="Arial" w:cs="Arial"/>
          <w:bCs/>
          <w:color w:val="000000" w:themeColor="text1"/>
          <w:sz w:val="22"/>
          <w:szCs w:val="22"/>
        </w:rPr>
        <w:t>Beilfuss</w:t>
      </w:r>
      <w:proofErr w:type="spellEnd"/>
      <w:r>
        <w:rPr>
          <w:rFonts w:ascii="Arial" w:hAnsi="Arial" w:cs="Arial"/>
          <w:bCs/>
          <w:color w:val="000000" w:themeColor="text1"/>
          <w:sz w:val="22"/>
          <w:szCs w:val="22"/>
        </w:rPr>
        <w:t xml:space="preserve"> wrote in </w:t>
      </w:r>
      <w:r w:rsidRPr="00933C01">
        <w:rPr>
          <w:rFonts w:ascii="Arial" w:hAnsi="Arial" w:cs="Arial"/>
          <w:bCs/>
          <w:i/>
          <w:iCs/>
          <w:color w:val="000000" w:themeColor="text1"/>
          <w:sz w:val="22"/>
          <w:szCs w:val="22"/>
        </w:rPr>
        <w:t>Barron’s</w:t>
      </w:r>
      <w:r w:rsidR="00BF6D32">
        <w:rPr>
          <w:rFonts w:ascii="Arial" w:hAnsi="Arial" w:cs="Arial"/>
          <w:bCs/>
          <w:color w:val="000000" w:themeColor="text1"/>
          <w:sz w:val="22"/>
          <w:szCs w:val="22"/>
        </w:rPr>
        <w:t>.</w:t>
      </w:r>
    </w:p>
    <w:p w14:paraId="42C85B25" w14:textId="77777777" w:rsidR="00617D6F" w:rsidRDefault="00617D6F" w:rsidP="00617D6F">
      <w:pPr>
        <w:rPr>
          <w:rFonts w:ascii="Arial" w:hAnsi="Arial" w:cs="Arial"/>
          <w:bCs/>
          <w:color w:val="000000" w:themeColor="text1"/>
          <w:sz w:val="22"/>
          <w:szCs w:val="22"/>
        </w:rPr>
      </w:pPr>
    </w:p>
    <w:p w14:paraId="1B5D8511" w14:textId="59FE03AA" w:rsidR="00617D6F" w:rsidRDefault="00617D6F" w:rsidP="00617D6F">
      <w:pPr>
        <w:rPr>
          <w:rFonts w:ascii="Arial" w:hAnsi="Arial" w:cs="Arial"/>
          <w:bCs/>
          <w:color w:val="000000" w:themeColor="text1"/>
          <w:sz w:val="22"/>
          <w:szCs w:val="22"/>
        </w:rPr>
      </w:pPr>
      <w:r>
        <w:rPr>
          <w:rFonts w:ascii="Arial" w:hAnsi="Arial" w:cs="Arial"/>
          <w:bCs/>
          <w:color w:val="000000" w:themeColor="text1"/>
          <w:sz w:val="22"/>
          <w:szCs w:val="22"/>
        </w:rPr>
        <w:t xml:space="preserve">Economists aren’t the only ones revising expectations. Some companies have cautioned that their revenue and earnings expectations were too high. Several airlines reported that cancellations have increased and ticket purchases have declined, which will impact the companies’ financial performance. In addition, some manufacturers indicated that unresolved supply chain issues and the high cost of raw materials will affect their performance for the quarter, reported </w:t>
      </w:r>
      <w:proofErr w:type="spellStart"/>
      <w:r>
        <w:rPr>
          <w:rFonts w:ascii="Arial" w:hAnsi="Arial" w:cs="Arial"/>
          <w:bCs/>
          <w:color w:val="000000" w:themeColor="text1"/>
          <w:sz w:val="22"/>
          <w:szCs w:val="22"/>
        </w:rPr>
        <w:t>Yacob</w:t>
      </w:r>
      <w:proofErr w:type="spellEnd"/>
      <w:r>
        <w:rPr>
          <w:rFonts w:ascii="Arial" w:hAnsi="Arial" w:cs="Arial"/>
          <w:bCs/>
          <w:color w:val="000000" w:themeColor="text1"/>
          <w:sz w:val="22"/>
          <w:szCs w:val="22"/>
        </w:rPr>
        <w:t xml:space="preserve"> Reyes and Sam Ro of </w:t>
      </w:r>
      <w:proofErr w:type="spellStart"/>
      <w:r w:rsidRPr="00141EB4">
        <w:rPr>
          <w:rFonts w:ascii="Arial" w:hAnsi="Arial" w:cs="Arial"/>
          <w:bCs/>
          <w:i/>
          <w:iCs/>
          <w:color w:val="000000" w:themeColor="text1"/>
          <w:sz w:val="22"/>
          <w:szCs w:val="22"/>
        </w:rPr>
        <w:t>Axios</w:t>
      </w:r>
      <w:proofErr w:type="spellEnd"/>
      <w:r>
        <w:rPr>
          <w:rFonts w:ascii="Arial" w:hAnsi="Arial" w:cs="Arial"/>
          <w:bCs/>
          <w:color w:val="000000" w:themeColor="text1"/>
          <w:sz w:val="22"/>
          <w:szCs w:val="22"/>
        </w:rPr>
        <w:t xml:space="preserve">. </w:t>
      </w:r>
    </w:p>
    <w:p w14:paraId="6DC6A2DB" w14:textId="77777777" w:rsidR="00617D6F" w:rsidRDefault="00617D6F" w:rsidP="00617D6F">
      <w:pPr>
        <w:rPr>
          <w:rFonts w:ascii="Arial" w:hAnsi="Arial" w:cs="Arial"/>
          <w:bCs/>
          <w:color w:val="000000" w:themeColor="text1"/>
          <w:sz w:val="22"/>
          <w:szCs w:val="22"/>
        </w:rPr>
      </w:pPr>
    </w:p>
    <w:p w14:paraId="7862A8E9" w14:textId="18DECB2E" w:rsidR="00617D6F" w:rsidRPr="00141EB4" w:rsidRDefault="00617D6F" w:rsidP="00617D6F">
      <w:pPr>
        <w:rPr>
          <w:rFonts w:ascii="Arial" w:hAnsi="Arial" w:cs="Arial"/>
          <w:bCs/>
          <w:color w:val="000000" w:themeColor="text1"/>
          <w:sz w:val="22"/>
          <w:szCs w:val="22"/>
        </w:rPr>
      </w:pPr>
      <w:r>
        <w:rPr>
          <w:rFonts w:ascii="Arial" w:hAnsi="Arial" w:cs="Arial"/>
          <w:bCs/>
          <w:color w:val="000000" w:themeColor="text1"/>
          <w:sz w:val="22"/>
          <w:szCs w:val="22"/>
        </w:rPr>
        <w:t xml:space="preserve">A chief investment officer cited by </w:t>
      </w:r>
      <w:proofErr w:type="spellStart"/>
      <w:r w:rsidRPr="001F1098">
        <w:rPr>
          <w:rFonts w:ascii="Arial" w:hAnsi="Arial" w:cs="Arial"/>
          <w:bCs/>
          <w:i/>
          <w:iCs/>
          <w:color w:val="000000" w:themeColor="text1"/>
          <w:sz w:val="22"/>
          <w:szCs w:val="22"/>
        </w:rPr>
        <w:t>Axios</w:t>
      </w:r>
      <w:proofErr w:type="spellEnd"/>
      <w:r>
        <w:rPr>
          <w:rFonts w:ascii="Arial" w:hAnsi="Arial" w:cs="Arial"/>
          <w:bCs/>
          <w:color w:val="000000" w:themeColor="text1"/>
          <w:sz w:val="22"/>
          <w:szCs w:val="22"/>
        </w:rPr>
        <w:t xml:space="preserve"> said it’s unlikely that many more companies will cut their revenue or earnings forecasts; however, “…</w:t>
      </w:r>
      <w:r w:rsidRPr="001C163B">
        <w:rPr>
          <w:rFonts w:ascii="Arial" w:hAnsi="Arial" w:cs="Arial"/>
          <w:bCs/>
          <w:color w:val="000000" w:themeColor="text1"/>
          <w:sz w:val="22"/>
          <w:szCs w:val="22"/>
        </w:rPr>
        <w:t>he does expect fewer companies to announce better-than-expected earnings when they announce Q3 results.</w:t>
      </w:r>
      <w:r>
        <w:rPr>
          <w:rFonts w:ascii="Arial" w:hAnsi="Arial" w:cs="Arial"/>
          <w:bCs/>
          <w:color w:val="000000" w:themeColor="text1"/>
          <w:sz w:val="22"/>
          <w:szCs w:val="22"/>
        </w:rPr>
        <w:t>” During the second quarter of 2021, 87 percent of companies in the Standard &amp; Poor’s 500 Index reported better-than-expected earnings.</w:t>
      </w:r>
    </w:p>
    <w:p w14:paraId="7BF6EE7F" w14:textId="77777777" w:rsidR="00617D6F" w:rsidRDefault="00617D6F" w:rsidP="00617D6F">
      <w:pPr>
        <w:rPr>
          <w:rFonts w:ascii="Arial" w:hAnsi="Arial" w:cs="Arial"/>
          <w:bCs/>
          <w:color w:val="000000" w:themeColor="text1"/>
          <w:sz w:val="22"/>
          <w:szCs w:val="22"/>
        </w:rPr>
      </w:pPr>
    </w:p>
    <w:p w14:paraId="6CF9508A" w14:textId="2FFE6571" w:rsidR="00617D6F" w:rsidRDefault="00617D6F" w:rsidP="00B766C7">
      <w:pPr>
        <w:rPr>
          <w:rFonts w:ascii="Arial" w:hAnsi="Arial" w:cs="Arial"/>
          <w:bCs/>
          <w:color w:val="000000" w:themeColor="text1"/>
          <w:sz w:val="22"/>
          <w:szCs w:val="22"/>
        </w:rPr>
      </w:pPr>
      <w:r>
        <w:rPr>
          <w:rFonts w:ascii="Arial" w:hAnsi="Arial" w:cs="Arial"/>
          <w:bCs/>
          <w:color w:val="000000" w:themeColor="text1"/>
          <w:sz w:val="22"/>
          <w:szCs w:val="22"/>
        </w:rPr>
        <w:t xml:space="preserve">Last week, major U.S. stock indices trended lower, reported Al Root of </w:t>
      </w:r>
      <w:r w:rsidRPr="0036699A">
        <w:rPr>
          <w:rFonts w:ascii="Arial" w:hAnsi="Arial" w:cs="Arial"/>
          <w:bCs/>
          <w:i/>
          <w:iCs/>
          <w:color w:val="000000" w:themeColor="text1"/>
          <w:sz w:val="22"/>
          <w:szCs w:val="22"/>
        </w:rPr>
        <w:t>Barron’s</w:t>
      </w:r>
      <w:r>
        <w:rPr>
          <w:rFonts w:ascii="Arial" w:hAnsi="Arial" w:cs="Arial"/>
          <w:bCs/>
          <w:color w:val="000000" w:themeColor="text1"/>
          <w:sz w:val="22"/>
          <w:szCs w:val="22"/>
        </w:rPr>
        <w:t xml:space="preserve">. </w:t>
      </w:r>
      <w:r w:rsidR="00B766C7">
        <w:rPr>
          <w:rFonts w:ascii="Arial" w:hAnsi="Arial" w:cs="Arial"/>
          <w:bCs/>
          <w:color w:val="000000" w:themeColor="text1"/>
          <w:sz w:val="22"/>
          <w:szCs w:val="22"/>
        </w:rPr>
        <w:t>The yield on 10-year Treasuries also finished the week higher.</w:t>
      </w:r>
    </w:p>
    <w:p w14:paraId="4D866D60" w14:textId="77777777" w:rsidR="00B766C7" w:rsidRPr="00EF78F4" w:rsidRDefault="00B766C7" w:rsidP="00B766C7">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617D6F" w:rsidRPr="00EF78F4" w14:paraId="47DF68C2"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39FD7" w14:textId="77777777" w:rsidR="00617D6F" w:rsidRPr="00EF78F4" w:rsidRDefault="00617D6F" w:rsidP="008B6FDE">
            <w:pPr>
              <w:tabs>
                <w:tab w:val="left" w:pos="8550"/>
              </w:tabs>
              <w:jc w:val="center"/>
              <w:rPr>
                <w:rFonts w:ascii="Arial" w:hAnsi="Arial" w:cs="Arial"/>
                <w:b/>
                <w:bCs/>
                <w:color w:val="000000" w:themeColor="text1"/>
                <w:sz w:val="22"/>
                <w:szCs w:val="22"/>
              </w:rPr>
            </w:pPr>
            <w:r w:rsidRPr="00EF78F4">
              <w:rPr>
                <w:rFonts w:ascii="Arial" w:hAnsi="Arial" w:cs="Arial"/>
                <w:color w:val="000000" w:themeColor="text1"/>
                <w:sz w:val="22"/>
                <w:szCs w:val="22"/>
              </w:rPr>
              <w:br w:type="page"/>
            </w:r>
            <w:r w:rsidRPr="00EF78F4">
              <w:rPr>
                <w:rFonts w:ascii="Arial" w:hAnsi="Arial" w:cs="Arial"/>
                <w:b/>
                <w:bCs/>
                <w:color w:val="000000" w:themeColor="text1"/>
                <w:sz w:val="22"/>
                <w:szCs w:val="22"/>
              </w:rPr>
              <w:t xml:space="preserve">Data as of </w:t>
            </w:r>
            <w:r>
              <w:rPr>
                <w:rFonts w:ascii="Arial" w:hAnsi="Arial" w:cs="Arial"/>
                <w:b/>
                <w:bCs/>
                <w:color w:val="000000" w:themeColor="text1"/>
                <w:sz w:val="22"/>
                <w:szCs w:val="22"/>
              </w:rPr>
              <w:t>9</w:t>
            </w:r>
            <w:r w:rsidRPr="00EF78F4">
              <w:rPr>
                <w:rFonts w:ascii="Arial" w:hAnsi="Arial" w:cs="Arial"/>
                <w:b/>
                <w:bCs/>
                <w:color w:val="000000" w:themeColor="text1"/>
                <w:sz w:val="22"/>
                <w:szCs w:val="22"/>
              </w:rPr>
              <w:t>/</w:t>
            </w:r>
            <w:r>
              <w:rPr>
                <w:rFonts w:ascii="Arial" w:hAnsi="Arial" w:cs="Arial"/>
                <w:b/>
                <w:bCs/>
                <w:color w:val="000000" w:themeColor="text1"/>
                <w:sz w:val="22"/>
                <w:szCs w:val="22"/>
              </w:rPr>
              <w:t>10</w:t>
            </w:r>
            <w:r w:rsidRPr="00EF78F4">
              <w:rPr>
                <w:rFonts w:ascii="Arial" w:hAnsi="Arial" w:cs="Arial"/>
                <w:b/>
                <w:bCs/>
                <w:color w:val="000000" w:themeColor="text1"/>
                <w:sz w:val="22"/>
                <w:szCs w:val="22"/>
              </w:rPr>
              <w:t>/21</w:t>
            </w:r>
          </w:p>
        </w:tc>
        <w:tc>
          <w:tcPr>
            <w:tcW w:w="990" w:type="dxa"/>
            <w:tcBorders>
              <w:top w:val="single" w:sz="4" w:space="0" w:color="auto"/>
              <w:left w:val="nil"/>
              <w:bottom w:val="single" w:sz="4" w:space="0" w:color="auto"/>
              <w:right w:val="single" w:sz="4" w:space="0" w:color="auto"/>
            </w:tcBorders>
            <w:vAlign w:val="center"/>
          </w:tcPr>
          <w:p w14:paraId="4167CF8D" w14:textId="77777777" w:rsidR="00617D6F" w:rsidRPr="00EF78F4" w:rsidRDefault="00617D6F" w:rsidP="008B6FDE">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222E6" w14:textId="77777777" w:rsidR="00617D6F" w:rsidRPr="00EF78F4" w:rsidRDefault="00617D6F" w:rsidP="008B6FDE">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F51A0C0" w14:textId="77777777" w:rsidR="00617D6F" w:rsidRPr="00EF78F4" w:rsidRDefault="00617D6F" w:rsidP="008B6FDE">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990E5BB" w14:textId="77777777" w:rsidR="00617D6F" w:rsidRPr="00EF78F4" w:rsidRDefault="00617D6F" w:rsidP="008B6FDE">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C9F3B4" w14:textId="77777777" w:rsidR="00617D6F" w:rsidRPr="00EF78F4" w:rsidRDefault="00617D6F" w:rsidP="008B6FDE">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96FFC7" w14:textId="77777777" w:rsidR="00617D6F" w:rsidRPr="00EF78F4" w:rsidRDefault="00617D6F" w:rsidP="008B6FDE">
            <w:pPr>
              <w:tabs>
                <w:tab w:val="left" w:pos="8550"/>
              </w:tabs>
              <w:jc w:val="center"/>
              <w:rPr>
                <w:rFonts w:ascii="Arial" w:hAnsi="Arial" w:cs="Arial"/>
                <w:b/>
                <w:bCs/>
                <w:color w:val="000000" w:themeColor="text1"/>
                <w:sz w:val="22"/>
                <w:szCs w:val="22"/>
              </w:rPr>
            </w:pPr>
            <w:r w:rsidRPr="00EF78F4">
              <w:rPr>
                <w:rFonts w:ascii="Arial" w:hAnsi="Arial" w:cs="Arial"/>
                <w:b/>
                <w:bCs/>
                <w:color w:val="000000" w:themeColor="text1"/>
                <w:sz w:val="22"/>
                <w:szCs w:val="22"/>
              </w:rPr>
              <w:t>10-Year</w:t>
            </w:r>
          </w:p>
        </w:tc>
      </w:tr>
      <w:tr w:rsidR="00617D6F" w:rsidRPr="00EF78F4" w14:paraId="043CE497" w14:textId="77777777" w:rsidTr="008B6FDE">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60C2B0DE" w14:textId="77777777" w:rsidR="00617D6F" w:rsidRPr="00EF78F4" w:rsidRDefault="00617D6F" w:rsidP="008B6FDE">
            <w:pPr>
              <w:tabs>
                <w:tab w:val="left" w:pos="8550"/>
              </w:tabs>
              <w:rPr>
                <w:rFonts w:ascii="Arial" w:hAnsi="Arial" w:cs="Arial"/>
                <w:sz w:val="22"/>
                <w:szCs w:val="22"/>
              </w:rPr>
            </w:pPr>
            <w:r w:rsidRPr="00EF78F4">
              <w:rPr>
                <w:rFonts w:ascii="Arial" w:hAnsi="Arial" w:cs="Arial"/>
                <w:sz w:val="22"/>
                <w:szCs w:val="22"/>
              </w:rPr>
              <w:t xml:space="preserve">Standard &amp; Poor's 500 </w:t>
            </w:r>
            <w:r>
              <w:rPr>
                <w:rFonts w:ascii="Arial" w:hAnsi="Arial" w:cs="Arial"/>
                <w:sz w:val="22"/>
                <w:szCs w:val="22"/>
              </w:rPr>
              <w:t>Index</w:t>
            </w:r>
          </w:p>
        </w:tc>
        <w:tc>
          <w:tcPr>
            <w:tcW w:w="990" w:type="dxa"/>
            <w:tcBorders>
              <w:top w:val="single" w:sz="4" w:space="0" w:color="auto"/>
              <w:left w:val="nil"/>
              <w:bottom w:val="single" w:sz="4" w:space="0" w:color="auto"/>
              <w:right w:val="single" w:sz="4" w:space="0" w:color="auto"/>
            </w:tcBorders>
            <w:vAlign w:val="center"/>
          </w:tcPr>
          <w:p w14:paraId="28081F0C"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-1.7</w:t>
            </w:r>
            <w:r w:rsidRPr="006B387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A9BE680"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18.7</w:t>
            </w:r>
            <w:r w:rsidRPr="006B387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9E69FDB"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33.5</w:t>
            </w:r>
            <w:r w:rsidRPr="006B387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F8F68DB"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5.7</w:t>
            </w:r>
            <w:r w:rsidRPr="006B387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0BB65A4D"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15.</w:t>
            </w:r>
            <w:r>
              <w:rPr>
                <w:rFonts w:ascii="Arial" w:hAnsi="Arial" w:cs="Arial"/>
                <w:sz w:val="22"/>
                <w:szCs w:val="22"/>
              </w:rPr>
              <w:t>6</w:t>
            </w:r>
            <w:r w:rsidRPr="006B387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DB2ED0C"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14.</w:t>
            </w:r>
            <w:r>
              <w:rPr>
                <w:rFonts w:ascii="Arial" w:hAnsi="Arial" w:cs="Arial"/>
                <w:sz w:val="22"/>
                <w:szCs w:val="22"/>
              </w:rPr>
              <w:t>4</w:t>
            </w:r>
            <w:r w:rsidRPr="006B387B">
              <w:rPr>
                <w:rFonts w:ascii="Arial" w:hAnsi="Arial" w:cs="Arial"/>
                <w:sz w:val="22"/>
                <w:szCs w:val="22"/>
              </w:rPr>
              <w:t>%</w:t>
            </w:r>
          </w:p>
        </w:tc>
      </w:tr>
      <w:tr w:rsidR="00617D6F" w:rsidRPr="00EF78F4" w14:paraId="12861235"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A38D1" w14:textId="77777777" w:rsidR="00617D6F" w:rsidRPr="00EF78F4" w:rsidRDefault="00617D6F" w:rsidP="008B6FDE">
            <w:pPr>
              <w:tabs>
                <w:tab w:val="left" w:pos="8550"/>
              </w:tabs>
              <w:rPr>
                <w:rFonts w:ascii="Arial" w:hAnsi="Arial" w:cs="Arial"/>
                <w:sz w:val="22"/>
                <w:szCs w:val="22"/>
              </w:rPr>
            </w:pPr>
            <w:r w:rsidRPr="00EF78F4">
              <w:rPr>
                <w:rFonts w:ascii="Arial" w:hAnsi="Arial" w:cs="Arial"/>
                <w:sz w:val="22"/>
                <w:szCs w:val="22"/>
              </w:rPr>
              <w:t>Dow Jones Global ex-U.S.</w:t>
            </w:r>
            <w:r>
              <w:rPr>
                <w:rFonts w:ascii="Arial" w:hAnsi="Arial" w:cs="Arial"/>
                <w:sz w:val="22"/>
                <w:szCs w:val="22"/>
              </w:rPr>
              <w:t xml:space="preserve"> Index</w:t>
            </w:r>
          </w:p>
        </w:tc>
        <w:tc>
          <w:tcPr>
            <w:tcW w:w="990" w:type="dxa"/>
            <w:tcBorders>
              <w:top w:val="single" w:sz="4" w:space="0" w:color="auto"/>
              <w:left w:val="nil"/>
              <w:bottom w:val="single" w:sz="4" w:space="0" w:color="auto"/>
              <w:right w:val="single" w:sz="4" w:space="0" w:color="auto"/>
            </w:tcBorders>
            <w:vAlign w:val="center"/>
          </w:tcPr>
          <w:p w14:paraId="1C027A1A"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2F88F" w14:textId="77777777" w:rsidR="00617D6F" w:rsidRPr="006B387B" w:rsidRDefault="00617D6F" w:rsidP="008B6FDE">
            <w:pPr>
              <w:tabs>
                <w:tab w:val="left" w:pos="263"/>
                <w:tab w:val="center" w:pos="372"/>
                <w:tab w:val="left" w:pos="8550"/>
              </w:tabs>
              <w:jc w:val="center"/>
              <w:rPr>
                <w:rFonts w:ascii="Arial" w:hAnsi="Arial" w:cs="Arial"/>
                <w:sz w:val="22"/>
                <w:szCs w:val="22"/>
              </w:rPr>
            </w:pPr>
            <w:r>
              <w:rPr>
                <w:rFonts w:ascii="Arial" w:hAnsi="Arial" w:cs="Arial"/>
                <w:sz w:val="22"/>
                <w:szCs w:val="22"/>
              </w:rPr>
              <w:t>9.2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D659DF"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7A428445"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D9371C"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242AAC"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5.4</w:t>
            </w:r>
          </w:p>
        </w:tc>
      </w:tr>
      <w:tr w:rsidR="00617D6F" w:rsidRPr="00EF78F4" w14:paraId="33B0F827"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52956" w14:textId="77777777" w:rsidR="00617D6F" w:rsidRPr="00EF78F4" w:rsidRDefault="00617D6F" w:rsidP="008B6FDE">
            <w:pPr>
              <w:tabs>
                <w:tab w:val="left" w:pos="8550"/>
              </w:tabs>
              <w:rPr>
                <w:rFonts w:ascii="Arial" w:hAnsi="Arial" w:cs="Arial"/>
                <w:sz w:val="22"/>
                <w:szCs w:val="22"/>
              </w:rPr>
            </w:pPr>
            <w:r w:rsidRPr="00EF78F4">
              <w:rPr>
                <w:rFonts w:ascii="Arial" w:hAnsi="Arial" w:cs="Arial"/>
                <w:sz w:val="22"/>
                <w:szCs w:val="22"/>
              </w:rPr>
              <w:t>10-year Treasury Note (</w:t>
            </w:r>
            <w:r>
              <w:rPr>
                <w:rFonts w:ascii="Arial" w:hAnsi="Arial" w:cs="Arial"/>
                <w:sz w:val="22"/>
                <w:szCs w:val="22"/>
              </w:rPr>
              <w:t>y</w:t>
            </w:r>
            <w:r w:rsidRPr="00EF78F4">
              <w:rPr>
                <w:rFonts w:ascii="Arial" w:hAnsi="Arial" w:cs="Arial"/>
                <w:sz w:val="22"/>
                <w:szCs w:val="22"/>
              </w:rPr>
              <w:t xml:space="preserve">ield </w:t>
            </w:r>
            <w:r>
              <w:rPr>
                <w:rFonts w:ascii="Arial" w:hAnsi="Arial" w:cs="Arial"/>
                <w:sz w:val="22"/>
                <w:szCs w:val="22"/>
              </w:rPr>
              <w:t>o</w:t>
            </w:r>
            <w:r w:rsidRPr="00EF78F4">
              <w:rPr>
                <w:rFonts w:ascii="Arial" w:hAnsi="Arial" w:cs="Arial"/>
                <w:sz w:val="22"/>
                <w:szCs w:val="22"/>
              </w:rPr>
              <w:t>nly)</w:t>
            </w:r>
          </w:p>
        </w:tc>
        <w:tc>
          <w:tcPr>
            <w:tcW w:w="990" w:type="dxa"/>
            <w:tcBorders>
              <w:top w:val="single" w:sz="4" w:space="0" w:color="auto"/>
              <w:left w:val="nil"/>
              <w:bottom w:val="single" w:sz="4" w:space="0" w:color="auto"/>
              <w:right w:val="single" w:sz="4" w:space="0" w:color="auto"/>
            </w:tcBorders>
            <w:vAlign w:val="center"/>
          </w:tcPr>
          <w:p w14:paraId="75BF96EA"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D8492" w14:textId="77777777" w:rsidR="00617D6F" w:rsidRPr="006B387B" w:rsidRDefault="00617D6F" w:rsidP="008B6FDE">
            <w:pPr>
              <w:tabs>
                <w:tab w:val="left" w:pos="263"/>
                <w:tab w:val="center" w:pos="372"/>
                <w:tab w:val="left" w:pos="8550"/>
              </w:tabs>
              <w:jc w:val="center"/>
              <w:rPr>
                <w:rFonts w:ascii="Arial" w:hAnsi="Arial" w:cs="Arial"/>
                <w:sz w:val="22"/>
                <w:szCs w:val="22"/>
              </w:rPr>
            </w:pPr>
            <w:r w:rsidRPr="006B387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BA3AEBA"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172FFAC"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2.</w:t>
            </w:r>
            <w:r>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C724C1"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D9CD96"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1.9</w:t>
            </w:r>
          </w:p>
        </w:tc>
      </w:tr>
      <w:tr w:rsidR="00617D6F" w:rsidRPr="00EF78F4" w14:paraId="68F04B4B"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CCDC1" w14:textId="77777777" w:rsidR="00617D6F" w:rsidRPr="00EF78F4" w:rsidRDefault="00617D6F" w:rsidP="008B6FDE">
            <w:pPr>
              <w:tabs>
                <w:tab w:val="left" w:pos="8550"/>
              </w:tabs>
              <w:rPr>
                <w:rFonts w:ascii="Arial" w:hAnsi="Arial" w:cs="Arial"/>
                <w:sz w:val="22"/>
                <w:szCs w:val="22"/>
              </w:rPr>
            </w:pPr>
            <w:r w:rsidRPr="00EF78F4">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7CDE39EE"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150F9"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6C67DA"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8.7</w:t>
            </w:r>
          </w:p>
        </w:tc>
        <w:tc>
          <w:tcPr>
            <w:tcW w:w="900" w:type="dxa"/>
            <w:tcBorders>
              <w:top w:val="single" w:sz="4" w:space="0" w:color="auto"/>
              <w:left w:val="nil"/>
              <w:bottom w:val="single" w:sz="4" w:space="0" w:color="auto"/>
              <w:right w:val="single" w:sz="4" w:space="0" w:color="auto"/>
            </w:tcBorders>
            <w:shd w:val="clear" w:color="auto" w:fill="auto"/>
            <w:vAlign w:val="center"/>
          </w:tcPr>
          <w:p w14:paraId="5DD8F8B9"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1</w:t>
            </w:r>
            <w:r>
              <w:rPr>
                <w:rFonts w:ascii="Arial" w:hAnsi="Arial" w:cs="Arial"/>
                <w:sz w:val="22"/>
                <w:szCs w:val="22"/>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CACBF0"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FEA441"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-0.</w:t>
            </w:r>
            <w:r>
              <w:rPr>
                <w:rFonts w:ascii="Arial" w:hAnsi="Arial" w:cs="Arial"/>
                <w:sz w:val="22"/>
                <w:szCs w:val="22"/>
              </w:rPr>
              <w:t>2</w:t>
            </w:r>
          </w:p>
        </w:tc>
      </w:tr>
      <w:tr w:rsidR="00617D6F" w:rsidRPr="00EF78F4" w14:paraId="1993E259" w14:textId="77777777" w:rsidTr="008B6FDE">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57BD9" w14:textId="77777777" w:rsidR="00617D6F" w:rsidRPr="00EF78F4" w:rsidRDefault="00617D6F" w:rsidP="008B6FDE">
            <w:pPr>
              <w:tabs>
                <w:tab w:val="left" w:pos="8550"/>
              </w:tabs>
              <w:rPr>
                <w:rFonts w:ascii="Arial" w:hAnsi="Arial" w:cs="Arial"/>
                <w:sz w:val="22"/>
                <w:szCs w:val="22"/>
              </w:rPr>
            </w:pPr>
            <w:r w:rsidRPr="00EF78F4">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CED1A7C"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DDB0B"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24.4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690039"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35.8</w:t>
            </w:r>
          </w:p>
        </w:tc>
        <w:tc>
          <w:tcPr>
            <w:tcW w:w="900" w:type="dxa"/>
            <w:tcBorders>
              <w:top w:val="single" w:sz="4" w:space="0" w:color="auto"/>
              <w:left w:val="nil"/>
              <w:bottom w:val="single" w:sz="4" w:space="0" w:color="auto"/>
              <w:right w:val="single" w:sz="4" w:space="0" w:color="auto"/>
            </w:tcBorders>
            <w:shd w:val="clear" w:color="auto" w:fill="auto"/>
            <w:vAlign w:val="center"/>
          </w:tcPr>
          <w:p w14:paraId="123A72A3"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4C884A" w14:textId="77777777" w:rsidR="00617D6F" w:rsidRPr="006B387B" w:rsidRDefault="00617D6F" w:rsidP="008B6FDE">
            <w:pPr>
              <w:tabs>
                <w:tab w:val="left" w:pos="8550"/>
              </w:tabs>
              <w:jc w:val="center"/>
              <w:rPr>
                <w:rFonts w:ascii="Arial" w:hAnsi="Arial" w:cs="Arial"/>
                <w:sz w:val="22"/>
                <w:szCs w:val="22"/>
              </w:rPr>
            </w:pPr>
            <w:r>
              <w:rPr>
                <w:rFonts w:ascii="Arial" w:hAnsi="Arial" w:cs="Arial"/>
                <w:sz w:val="22"/>
                <w:szCs w:val="22"/>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157E1C" w14:textId="77777777" w:rsidR="00617D6F" w:rsidRPr="006B387B" w:rsidRDefault="00617D6F" w:rsidP="008B6FDE">
            <w:pPr>
              <w:tabs>
                <w:tab w:val="left" w:pos="8550"/>
              </w:tabs>
              <w:jc w:val="center"/>
              <w:rPr>
                <w:rFonts w:ascii="Arial" w:hAnsi="Arial" w:cs="Arial"/>
                <w:sz w:val="22"/>
                <w:szCs w:val="22"/>
              </w:rPr>
            </w:pPr>
            <w:r w:rsidRPr="006B387B">
              <w:rPr>
                <w:rFonts w:ascii="Arial" w:hAnsi="Arial" w:cs="Arial"/>
                <w:sz w:val="22"/>
                <w:szCs w:val="22"/>
              </w:rPr>
              <w:t>-</w:t>
            </w:r>
            <w:r>
              <w:rPr>
                <w:rFonts w:ascii="Arial" w:hAnsi="Arial" w:cs="Arial"/>
                <w:sz w:val="22"/>
                <w:szCs w:val="22"/>
              </w:rPr>
              <w:t>4.8</w:t>
            </w:r>
          </w:p>
        </w:tc>
      </w:tr>
    </w:tbl>
    <w:p w14:paraId="595F32A4" w14:textId="77777777" w:rsidR="00617D6F" w:rsidRPr="006F4C0C" w:rsidRDefault="00617D6F" w:rsidP="00617D6F">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426B444" w14:textId="77777777" w:rsidR="00617D6F" w:rsidRPr="006F4C0C" w:rsidRDefault="00617D6F" w:rsidP="00617D6F">
      <w:pPr>
        <w:rPr>
          <w:rFonts w:ascii="Arial" w:hAnsi="Arial" w:cs="Arial"/>
          <w:sz w:val="18"/>
          <w:szCs w:val="18"/>
        </w:rPr>
      </w:pPr>
      <w:r w:rsidRPr="006F4C0C">
        <w:rPr>
          <w:rFonts w:ascii="Arial" w:hAnsi="Arial" w:cs="Arial"/>
          <w:sz w:val="18"/>
          <w:szCs w:val="18"/>
        </w:rPr>
        <w:t>Sources: Yahoo! Finance; MarketWatch; djindexes.com; Federal Reserve Bank of St. Louis; London Bullion Market Association.</w:t>
      </w:r>
    </w:p>
    <w:p w14:paraId="4BDE63C1" w14:textId="77777777" w:rsidR="00617D6F" w:rsidRDefault="00617D6F" w:rsidP="00617D6F">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2DA5AECB" w14:textId="77777777" w:rsidR="00617D6F" w:rsidRPr="00764D7B" w:rsidRDefault="00617D6F" w:rsidP="00617D6F">
      <w:pPr>
        <w:rPr>
          <w:rFonts w:ascii="Arial" w:hAnsi="Arial" w:cs="Arial"/>
          <w:sz w:val="18"/>
          <w:szCs w:val="18"/>
        </w:rPr>
      </w:pPr>
    </w:p>
    <w:p w14:paraId="482F66C1" w14:textId="77777777" w:rsidR="00617D6F" w:rsidRDefault="00617D6F" w:rsidP="00617D6F">
      <w:pPr>
        <w:rPr>
          <w:rFonts w:ascii="Arial" w:hAnsi="Arial" w:cs="Arial"/>
          <w:color w:val="000000" w:themeColor="text1"/>
          <w:sz w:val="22"/>
          <w:szCs w:val="22"/>
        </w:rPr>
      </w:pPr>
      <w:r>
        <w:rPr>
          <w:rFonts w:ascii="Arial" w:hAnsi="Arial" w:cs="Arial"/>
          <w:b/>
          <w:bCs/>
          <w:caps/>
          <w:color w:val="0D304A"/>
          <w:sz w:val="22"/>
          <w:szCs w:val="22"/>
        </w:rPr>
        <w:lastRenderedPageBreak/>
        <w:t>Upside-down rhinoceri and other improbable stuff.</w:t>
      </w:r>
      <w:r>
        <w:rPr>
          <w:rFonts w:ascii="Arial" w:hAnsi="Arial" w:cs="Arial"/>
          <w:color w:val="000000" w:themeColor="text1"/>
          <w:sz w:val="22"/>
          <w:szCs w:val="22"/>
        </w:rPr>
        <w:t xml:space="preserve"> It’s September and paper airplanes were flying across screens at the 31</w:t>
      </w:r>
      <w:r w:rsidRPr="00582433">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First Annual Ig</w:t>
      </w:r>
      <w:r w:rsidRPr="000E5703">
        <w:rPr>
          <w:rFonts w:ascii="Arial" w:hAnsi="Arial" w:cs="Arial"/>
          <w:color w:val="000000" w:themeColor="text1"/>
          <w:sz w:val="22"/>
          <w:szCs w:val="22"/>
          <w:vertAlign w:val="superscript"/>
        </w:rPr>
        <w:t>®</w:t>
      </w:r>
      <w:r>
        <w:rPr>
          <w:rFonts w:ascii="Arial" w:hAnsi="Arial" w:cs="Arial"/>
          <w:color w:val="000000" w:themeColor="text1"/>
          <w:sz w:val="22"/>
          <w:szCs w:val="22"/>
        </w:rPr>
        <w:t xml:space="preserve"> Nobel Prize virtual ceremony. </w:t>
      </w:r>
    </w:p>
    <w:p w14:paraId="5D85DF1D" w14:textId="77777777" w:rsidR="00617D6F" w:rsidRDefault="00617D6F" w:rsidP="00617D6F">
      <w:pPr>
        <w:rPr>
          <w:rFonts w:ascii="Arial" w:hAnsi="Arial" w:cs="Arial"/>
          <w:color w:val="000000" w:themeColor="text1"/>
          <w:sz w:val="22"/>
          <w:szCs w:val="22"/>
        </w:rPr>
      </w:pPr>
    </w:p>
    <w:p w14:paraId="73CD560A" w14:textId="1E77A68C" w:rsidR="00617D6F" w:rsidRDefault="00617D6F" w:rsidP="00617D6F">
      <w:pPr>
        <w:rPr>
          <w:rFonts w:ascii="Arial" w:hAnsi="Arial" w:cs="Arial"/>
          <w:color w:val="000000" w:themeColor="text1"/>
          <w:sz w:val="22"/>
          <w:szCs w:val="22"/>
        </w:rPr>
      </w:pPr>
      <w:r>
        <w:rPr>
          <w:rFonts w:ascii="Arial" w:hAnsi="Arial" w:cs="Arial"/>
          <w:color w:val="000000" w:themeColor="text1"/>
          <w:sz w:val="22"/>
          <w:szCs w:val="22"/>
        </w:rPr>
        <w:t xml:space="preserve">The Ig </w:t>
      </w:r>
      <w:proofErr w:type="spellStart"/>
      <w:r>
        <w:rPr>
          <w:rFonts w:ascii="Arial" w:hAnsi="Arial" w:cs="Arial"/>
          <w:color w:val="000000" w:themeColor="text1"/>
          <w:sz w:val="22"/>
          <w:szCs w:val="22"/>
        </w:rPr>
        <w:t>Nobels</w:t>
      </w:r>
      <w:proofErr w:type="spellEnd"/>
      <w:r>
        <w:rPr>
          <w:rFonts w:ascii="Arial" w:hAnsi="Arial" w:cs="Arial"/>
          <w:color w:val="000000" w:themeColor="text1"/>
          <w:sz w:val="22"/>
          <w:szCs w:val="22"/>
        </w:rPr>
        <w:t xml:space="preserve"> recognize</w:t>
      </w:r>
      <w:r w:rsidRPr="00582433">
        <w:rPr>
          <w:rFonts w:ascii="Arial" w:hAnsi="Arial" w:cs="Arial"/>
          <w:color w:val="000000" w:themeColor="text1"/>
          <w:sz w:val="22"/>
          <w:szCs w:val="22"/>
        </w:rPr>
        <w:t xml:space="preserve"> the unusual</w:t>
      </w:r>
      <w:r>
        <w:rPr>
          <w:rFonts w:ascii="Arial" w:hAnsi="Arial" w:cs="Arial"/>
          <w:color w:val="000000" w:themeColor="text1"/>
          <w:sz w:val="22"/>
          <w:szCs w:val="22"/>
        </w:rPr>
        <w:t xml:space="preserve"> and</w:t>
      </w:r>
      <w:r w:rsidRPr="00582433">
        <w:rPr>
          <w:rFonts w:ascii="Arial" w:hAnsi="Arial" w:cs="Arial"/>
          <w:color w:val="000000" w:themeColor="text1"/>
          <w:sz w:val="22"/>
          <w:szCs w:val="22"/>
        </w:rPr>
        <w:t xml:space="preserve"> </w:t>
      </w:r>
      <w:r>
        <w:rPr>
          <w:rFonts w:ascii="Arial" w:hAnsi="Arial" w:cs="Arial"/>
          <w:color w:val="000000" w:themeColor="text1"/>
          <w:sz w:val="22"/>
          <w:szCs w:val="22"/>
        </w:rPr>
        <w:t>celebrate</w:t>
      </w:r>
      <w:r w:rsidRPr="00582433">
        <w:rPr>
          <w:rFonts w:ascii="Arial" w:hAnsi="Arial" w:cs="Arial"/>
          <w:color w:val="000000" w:themeColor="text1"/>
          <w:sz w:val="22"/>
          <w:szCs w:val="22"/>
        </w:rPr>
        <w:t xml:space="preserve"> the imaginative </w:t>
      </w:r>
      <w:r>
        <w:rPr>
          <w:rFonts w:ascii="Arial" w:hAnsi="Arial" w:cs="Arial"/>
          <w:color w:val="000000" w:themeColor="text1"/>
          <w:sz w:val="22"/>
          <w:szCs w:val="22"/>
        </w:rPr>
        <w:t>to rouse</w:t>
      </w:r>
      <w:r w:rsidRPr="00582433">
        <w:rPr>
          <w:rFonts w:ascii="Arial" w:hAnsi="Arial" w:cs="Arial"/>
          <w:color w:val="000000" w:themeColor="text1"/>
          <w:sz w:val="22"/>
          <w:szCs w:val="22"/>
        </w:rPr>
        <w:t xml:space="preserve"> interest in science, medicine</w:t>
      </w:r>
      <w:r>
        <w:rPr>
          <w:rFonts w:ascii="Arial" w:hAnsi="Arial" w:cs="Arial"/>
          <w:color w:val="000000" w:themeColor="text1"/>
          <w:sz w:val="22"/>
          <w:szCs w:val="22"/>
        </w:rPr>
        <w:t xml:space="preserve"> </w:t>
      </w:r>
      <w:r w:rsidRPr="00582433">
        <w:rPr>
          <w:rFonts w:ascii="Arial" w:hAnsi="Arial" w:cs="Arial"/>
          <w:color w:val="000000" w:themeColor="text1"/>
          <w:sz w:val="22"/>
          <w:szCs w:val="22"/>
        </w:rPr>
        <w:t>and technology</w:t>
      </w:r>
      <w:r>
        <w:rPr>
          <w:rFonts w:ascii="Arial" w:hAnsi="Arial" w:cs="Arial"/>
          <w:color w:val="000000" w:themeColor="text1"/>
          <w:sz w:val="22"/>
          <w:szCs w:val="22"/>
        </w:rPr>
        <w:t xml:space="preserve">. Every year, 10 prizes are awarded for research that </w:t>
      </w:r>
      <w:r w:rsidRPr="00582433">
        <w:rPr>
          <w:rFonts w:ascii="Arial" w:hAnsi="Arial" w:cs="Arial"/>
          <w:color w:val="000000" w:themeColor="text1"/>
          <w:sz w:val="22"/>
          <w:szCs w:val="22"/>
        </w:rPr>
        <w:t>make</w:t>
      </w:r>
      <w:r>
        <w:rPr>
          <w:rFonts w:ascii="Arial" w:hAnsi="Arial" w:cs="Arial"/>
          <w:color w:val="000000" w:themeColor="text1"/>
          <w:sz w:val="22"/>
          <w:szCs w:val="22"/>
        </w:rPr>
        <w:t>s</w:t>
      </w:r>
      <w:r w:rsidRPr="00582433">
        <w:rPr>
          <w:rFonts w:ascii="Arial" w:hAnsi="Arial" w:cs="Arial"/>
          <w:color w:val="000000" w:themeColor="text1"/>
          <w:sz w:val="22"/>
          <w:szCs w:val="22"/>
        </w:rPr>
        <w:t xml:space="preserve"> people </w:t>
      </w:r>
      <w:r>
        <w:rPr>
          <w:rFonts w:ascii="Arial" w:hAnsi="Arial" w:cs="Arial"/>
          <w:color w:val="000000" w:themeColor="text1"/>
          <w:sz w:val="22"/>
          <w:szCs w:val="22"/>
        </w:rPr>
        <w:t>laugh and also makes them think</w:t>
      </w:r>
      <w:r w:rsidRPr="00582433">
        <w:rPr>
          <w:rFonts w:ascii="Arial" w:hAnsi="Arial" w:cs="Arial"/>
          <w:color w:val="000000" w:themeColor="text1"/>
          <w:sz w:val="22"/>
          <w:szCs w:val="22"/>
        </w:rPr>
        <w:t>.</w:t>
      </w:r>
      <w:r>
        <w:rPr>
          <w:rFonts w:ascii="Arial" w:hAnsi="Arial" w:cs="Arial"/>
          <w:color w:val="000000" w:themeColor="text1"/>
          <w:sz w:val="22"/>
          <w:szCs w:val="22"/>
        </w:rPr>
        <w:t xml:space="preserve"> Commemorative awards are given to the winners by actual Nobel laureates.</w:t>
      </w:r>
      <w:r>
        <w:rPr>
          <w:rFonts w:ascii="Arial" w:hAnsi="Arial" w:cs="Arial"/>
          <w:bCs/>
          <w:color w:val="000000" w:themeColor="text1"/>
          <w:sz w:val="22"/>
          <w:szCs w:val="22"/>
          <w:vertAlign w:val="superscript"/>
        </w:rPr>
        <w:t xml:space="preserve"> </w:t>
      </w:r>
      <w:r>
        <w:rPr>
          <w:rFonts w:ascii="Arial" w:hAnsi="Arial" w:cs="Arial"/>
          <w:color w:val="000000" w:themeColor="text1"/>
          <w:sz w:val="22"/>
          <w:szCs w:val="22"/>
        </w:rPr>
        <w:t>This year’s outstanding research included:</w:t>
      </w:r>
    </w:p>
    <w:p w14:paraId="276ABD2A" w14:textId="77777777" w:rsidR="00617D6F" w:rsidRDefault="00617D6F" w:rsidP="00617D6F">
      <w:pPr>
        <w:rPr>
          <w:rFonts w:ascii="Arial" w:hAnsi="Arial" w:cs="Arial"/>
          <w:color w:val="000000" w:themeColor="text1"/>
          <w:sz w:val="22"/>
          <w:szCs w:val="22"/>
        </w:rPr>
      </w:pPr>
    </w:p>
    <w:p w14:paraId="44E7ADBA" w14:textId="426E35FF" w:rsidR="00617D6F" w:rsidRPr="00027DDA" w:rsidRDefault="00617D6F" w:rsidP="00617D6F">
      <w:pPr>
        <w:ind w:left="360"/>
        <w:rPr>
          <w:rFonts w:ascii="Arial" w:hAnsi="Arial" w:cs="Arial"/>
          <w:color w:val="000000" w:themeColor="text1"/>
          <w:sz w:val="22"/>
          <w:szCs w:val="22"/>
        </w:rPr>
      </w:pPr>
      <w:r>
        <w:rPr>
          <w:rFonts w:ascii="Arial" w:hAnsi="Arial" w:cs="Arial"/>
          <w:b/>
          <w:bCs/>
          <w:color w:val="000000" w:themeColor="text1"/>
          <w:sz w:val="22"/>
          <w:szCs w:val="22"/>
        </w:rPr>
        <w:t xml:space="preserve">Biology prize: </w:t>
      </w:r>
      <w:r w:rsidRPr="00594515">
        <w:rPr>
          <w:rFonts w:ascii="Arial" w:hAnsi="Arial" w:cs="Arial"/>
          <w:color w:val="000000" w:themeColor="text1"/>
          <w:sz w:val="22"/>
          <w:szCs w:val="22"/>
        </w:rPr>
        <w:t xml:space="preserve">Susanne </w:t>
      </w:r>
      <w:proofErr w:type="spellStart"/>
      <w:r w:rsidRPr="00594515">
        <w:rPr>
          <w:rFonts w:ascii="Arial" w:hAnsi="Arial" w:cs="Arial"/>
          <w:color w:val="000000" w:themeColor="text1"/>
          <w:sz w:val="22"/>
          <w:szCs w:val="22"/>
        </w:rPr>
        <w:t>Schötz</w:t>
      </w:r>
      <w:proofErr w:type="spellEnd"/>
      <w:r w:rsidRPr="00594515">
        <w:rPr>
          <w:rFonts w:ascii="Arial" w:hAnsi="Arial" w:cs="Arial"/>
          <w:color w:val="000000" w:themeColor="text1"/>
          <w:sz w:val="22"/>
          <w:szCs w:val="22"/>
        </w:rPr>
        <w:t xml:space="preserve">, Robert Eklund and Joost van de </w:t>
      </w:r>
      <w:proofErr w:type="spellStart"/>
      <w:r w:rsidRPr="00594515">
        <w:rPr>
          <w:rFonts w:ascii="Arial" w:hAnsi="Arial" w:cs="Arial"/>
          <w:color w:val="000000" w:themeColor="text1"/>
          <w:sz w:val="22"/>
          <w:szCs w:val="22"/>
        </w:rPr>
        <w:t>Weijer</w:t>
      </w:r>
      <w:proofErr w:type="spellEnd"/>
      <w:r>
        <w:rPr>
          <w:rFonts w:ascii="Arial" w:hAnsi="Arial" w:cs="Arial"/>
          <w:color w:val="000000" w:themeColor="text1"/>
          <w:sz w:val="22"/>
          <w:szCs w:val="22"/>
        </w:rPr>
        <w:t xml:space="preserve"> received an Ig Nobel for their work in cat acoustics.</w:t>
      </w:r>
      <w:r w:rsidRPr="00594515">
        <w:rPr>
          <w:rFonts w:ascii="Arial" w:hAnsi="Arial" w:cs="Arial"/>
          <w:color w:val="000000" w:themeColor="text1"/>
          <w:sz w:val="22"/>
          <w:szCs w:val="22"/>
        </w:rPr>
        <w:t xml:space="preserve"> </w:t>
      </w:r>
      <w:r>
        <w:rPr>
          <w:rFonts w:ascii="Arial" w:hAnsi="Arial" w:cs="Arial"/>
          <w:color w:val="000000" w:themeColor="text1"/>
          <w:sz w:val="22"/>
          <w:szCs w:val="22"/>
        </w:rPr>
        <w:t>The introduction to “</w:t>
      </w:r>
      <w:r w:rsidRPr="003F4807">
        <w:rPr>
          <w:rFonts w:ascii="Arial" w:hAnsi="Arial" w:cs="Arial"/>
          <w:color w:val="000000" w:themeColor="text1"/>
          <w:sz w:val="22"/>
          <w:szCs w:val="22"/>
        </w:rPr>
        <w:t xml:space="preserve">A Comparative Acoustic Analysis </w:t>
      </w:r>
      <w:r>
        <w:rPr>
          <w:rFonts w:ascii="Arial" w:hAnsi="Arial" w:cs="Arial"/>
          <w:color w:val="000000" w:themeColor="text1"/>
          <w:sz w:val="22"/>
          <w:szCs w:val="22"/>
        </w:rPr>
        <w:t>o</w:t>
      </w:r>
      <w:r w:rsidRPr="003F4807">
        <w:rPr>
          <w:rFonts w:ascii="Arial" w:hAnsi="Arial" w:cs="Arial"/>
          <w:color w:val="000000" w:themeColor="text1"/>
          <w:sz w:val="22"/>
          <w:szCs w:val="22"/>
        </w:rPr>
        <w:t xml:space="preserve">f Purring </w:t>
      </w:r>
      <w:r>
        <w:rPr>
          <w:rFonts w:ascii="Arial" w:hAnsi="Arial" w:cs="Arial"/>
          <w:color w:val="000000" w:themeColor="text1"/>
          <w:sz w:val="22"/>
          <w:szCs w:val="22"/>
        </w:rPr>
        <w:t>i</w:t>
      </w:r>
      <w:r w:rsidRPr="003F4807">
        <w:rPr>
          <w:rFonts w:ascii="Arial" w:hAnsi="Arial" w:cs="Arial"/>
          <w:color w:val="000000" w:themeColor="text1"/>
          <w:sz w:val="22"/>
          <w:szCs w:val="22"/>
        </w:rPr>
        <w:t>n Four Cats</w:t>
      </w:r>
      <w:r>
        <w:rPr>
          <w:rFonts w:ascii="Arial" w:hAnsi="Arial" w:cs="Arial"/>
          <w:color w:val="000000" w:themeColor="text1"/>
          <w:sz w:val="22"/>
          <w:szCs w:val="22"/>
        </w:rPr>
        <w:t>” explains, “</w:t>
      </w:r>
      <w:r w:rsidRPr="003F4807">
        <w:rPr>
          <w:rFonts w:ascii="Arial" w:hAnsi="Arial" w:cs="Arial"/>
          <w:color w:val="000000" w:themeColor="text1"/>
          <w:sz w:val="22"/>
          <w:szCs w:val="22"/>
        </w:rPr>
        <w:t xml:space="preserve">The domestic cat is one of the most popular pet animals in the world, and virtually everyone is familiar with its trademark </w:t>
      </w:r>
      <w:r>
        <w:rPr>
          <w:rFonts w:ascii="Arial" w:hAnsi="Arial" w:cs="Arial"/>
          <w:color w:val="000000" w:themeColor="text1"/>
          <w:sz w:val="22"/>
          <w:szCs w:val="22"/>
        </w:rPr>
        <w:t>‘</w:t>
      </w:r>
      <w:r w:rsidRPr="003F4807">
        <w:rPr>
          <w:rFonts w:ascii="Arial" w:hAnsi="Arial" w:cs="Arial"/>
          <w:color w:val="000000" w:themeColor="text1"/>
          <w:sz w:val="22"/>
          <w:szCs w:val="22"/>
        </w:rPr>
        <w:t>purring</w:t>
      </w:r>
      <w:r>
        <w:rPr>
          <w:rFonts w:ascii="Arial" w:hAnsi="Arial" w:cs="Arial"/>
          <w:color w:val="000000" w:themeColor="text1"/>
          <w:sz w:val="22"/>
          <w:szCs w:val="22"/>
        </w:rPr>
        <w:t>’</w:t>
      </w:r>
      <w:r w:rsidRPr="003F4807">
        <w:rPr>
          <w:rFonts w:ascii="Arial" w:hAnsi="Arial" w:cs="Arial"/>
          <w:color w:val="000000" w:themeColor="text1"/>
          <w:sz w:val="22"/>
          <w:szCs w:val="22"/>
        </w:rPr>
        <w:t xml:space="preserve"> sound. Contrary to what might be believed, it is not known exactly how purring is produced, and there is a surprising lack of studies of purring, even descriptive.</w:t>
      </w:r>
      <w:r>
        <w:rPr>
          <w:rFonts w:ascii="Arial" w:hAnsi="Arial" w:cs="Arial"/>
          <w:color w:val="000000" w:themeColor="text1"/>
          <w:sz w:val="22"/>
          <w:szCs w:val="22"/>
        </w:rPr>
        <w:t xml:space="preserve">” The scientists have also studied cat </w:t>
      </w:r>
      <w:r w:rsidRPr="00594515">
        <w:rPr>
          <w:rFonts w:ascii="Arial" w:hAnsi="Arial" w:cs="Arial"/>
          <w:color w:val="000000" w:themeColor="text1"/>
          <w:sz w:val="22"/>
          <w:szCs w:val="22"/>
        </w:rPr>
        <w:t xml:space="preserve">chirping, chattering, trilling, </w:t>
      </w:r>
      <w:proofErr w:type="spellStart"/>
      <w:r w:rsidRPr="00594515">
        <w:rPr>
          <w:rFonts w:ascii="Arial" w:hAnsi="Arial" w:cs="Arial"/>
          <w:color w:val="000000" w:themeColor="text1"/>
          <w:sz w:val="22"/>
          <w:szCs w:val="22"/>
        </w:rPr>
        <w:t>tweedling</w:t>
      </w:r>
      <w:proofErr w:type="spellEnd"/>
      <w:r w:rsidRPr="00594515">
        <w:rPr>
          <w:rFonts w:ascii="Arial" w:hAnsi="Arial" w:cs="Arial"/>
          <w:color w:val="000000" w:themeColor="text1"/>
          <w:sz w:val="22"/>
          <w:szCs w:val="22"/>
        </w:rPr>
        <w:t xml:space="preserve">, murmuring, meowing, moaning, squeaking, hissing, yowling, howling </w:t>
      </w:r>
      <w:r>
        <w:rPr>
          <w:rFonts w:ascii="Arial" w:hAnsi="Arial" w:cs="Arial"/>
          <w:color w:val="000000" w:themeColor="text1"/>
          <w:sz w:val="22"/>
          <w:szCs w:val="22"/>
        </w:rPr>
        <w:t xml:space="preserve">and </w:t>
      </w:r>
      <w:r w:rsidRPr="00594515">
        <w:rPr>
          <w:rFonts w:ascii="Arial" w:hAnsi="Arial" w:cs="Arial"/>
          <w:color w:val="000000" w:themeColor="text1"/>
          <w:sz w:val="22"/>
          <w:szCs w:val="22"/>
        </w:rPr>
        <w:t>growling</w:t>
      </w:r>
      <w:r>
        <w:rPr>
          <w:rFonts w:ascii="Arial" w:hAnsi="Arial" w:cs="Arial"/>
          <w:color w:val="000000" w:themeColor="text1"/>
          <w:sz w:val="22"/>
          <w:szCs w:val="22"/>
        </w:rPr>
        <w:t>.</w:t>
      </w:r>
    </w:p>
    <w:p w14:paraId="07009EA0" w14:textId="77777777" w:rsidR="00617D6F" w:rsidRDefault="00617D6F" w:rsidP="00617D6F">
      <w:pPr>
        <w:ind w:left="360"/>
        <w:rPr>
          <w:rFonts w:ascii="Arial" w:hAnsi="Arial" w:cs="Arial"/>
          <w:b/>
          <w:bCs/>
          <w:color w:val="000000" w:themeColor="text1"/>
          <w:sz w:val="22"/>
          <w:szCs w:val="22"/>
        </w:rPr>
      </w:pPr>
    </w:p>
    <w:p w14:paraId="3DD222BD" w14:textId="22A31C43" w:rsidR="00617D6F" w:rsidRDefault="00617D6F" w:rsidP="00617D6F">
      <w:pPr>
        <w:ind w:left="360"/>
        <w:rPr>
          <w:rFonts w:ascii="Arial" w:hAnsi="Arial" w:cs="Arial"/>
          <w:color w:val="000000" w:themeColor="text1"/>
          <w:sz w:val="22"/>
          <w:szCs w:val="22"/>
        </w:rPr>
      </w:pPr>
      <w:r w:rsidRPr="002A7F7E">
        <w:rPr>
          <w:rFonts w:ascii="Arial" w:hAnsi="Arial" w:cs="Arial"/>
          <w:b/>
          <w:bCs/>
          <w:color w:val="000000" w:themeColor="text1"/>
          <w:sz w:val="22"/>
          <w:szCs w:val="22"/>
        </w:rPr>
        <w:t>Ecology</w:t>
      </w:r>
      <w:r>
        <w:rPr>
          <w:rFonts w:ascii="Arial" w:hAnsi="Arial" w:cs="Arial"/>
          <w:b/>
          <w:bCs/>
          <w:color w:val="000000" w:themeColor="text1"/>
          <w:sz w:val="22"/>
          <w:szCs w:val="22"/>
        </w:rPr>
        <w:t xml:space="preserve"> prize</w:t>
      </w:r>
      <w:r>
        <w:rPr>
          <w:rFonts w:ascii="Arial" w:hAnsi="Arial" w:cs="Arial"/>
          <w:color w:val="000000" w:themeColor="text1"/>
          <w:sz w:val="22"/>
          <w:szCs w:val="22"/>
        </w:rPr>
        <w:t xml:space="preserve">: Did you know the United Kingdom spends almost 70 million euros each year cleaning chewing gum residue from pavement? In addition to providing that bit of trivia, Ig Nobel winners </w:t>
      </w:r>
      <w:r w:rsidRPr="00027DDA">
        <w:rPr>
          <w:rFonts w:ascii="Arial" w:hAnsi="Arial" w:cs="Arial"/>
          <w:color w:val="000000" w:themeColor="text1"/>
          <w:sz w:val="22"/>
          <w:szCs w:val="22"/>
        </w:rPr>
        <w:t xml:space="preserve">Leila </w:t>
      </w:r>
      <w:proofErr w:type="spellStart"/>
      <w:r w:rsidRPr="00027DDA">
        <w:rPr>
          <w:rFonts w:ascii="Arial" w:hAnsi="Arial" w:cs="Arial"/>
          <w:color w:val="000000" w:themeColor="text1"/>
          <w:sz w:val="22"/>
          <w:szCs w:val="22"/>
        </w:rPr>
        <w:t>Satari</w:t>
      </w:r>
      <w:proofErr w:type="spellEnd"/>
      <w:r w:rsidRPr="00027DDA">
        <w:rPr>
          <w:rFonts w:ascii="Arial" w:hAnsi="Arial" w:cs="Arial"/>
          <w:color w:val="000000" w:themeColor="text1"/>
          <w:sz w:val="22"/>
          <w:szCs w:val="22"/>
        </w:rPr>
        <w:t xml:space="preserve">, Alba </w:t>
      </w:r>
      <w:proofErr w:type="spellStart"/>
      <w:r w:rsidRPr="00027DDA">
        <w:rPr>
          <w:rFonts w:ascii="Arial" w:hAnsi="Arial" w:cs="Arial"/>
          <w:color w:val="000000" w:themeColor="text1"/>
          <w:sz w:val="22"/>
          <w:szCs w:val="22"/>
        </w:rPr>
        <w:t>Guillén</w:t>
      </w:r>
      <w:proofErr w:type="spellEnd"/>
      <w:r w:rsidRPr="00027DDA">
        <w:rPr>
          <w:rFonts w:ascii="Arial" w:hAnsi="Arial" w:cs="Arial"/>
          <w:color w:val="000000" w:themeColor="text1"/>
          <w:sz w:val="22"/>
          <w:szCs w:val="22"/>
        </w:rPr>
        <w:t xml:space="preserve">, </w:t>
      </w:r>
      <w:proofErr w:type="spellStart"/>
      <w:r w:rsidRPr="00027DDA">
        <w:rPr>
          <w:rFonts w:ascii="Arial" w:hAnsi="Arial" w:cs="Arial"/>
          <w:color w:val="000000" w:themeColor="text1"/>
          <w:sz w:val="22"/>
          <w:szCs w:val="22"/>
        </w:rPr>
        <w:t>Àngela</w:t>
      </w:r>
      <w:proofErr w:type="spellEnd"/>
      <w:r w:rsidRPr="00027DDA">
        <w:rPr>
          <w:rFonts w:ascii="Arial" w:hAnsi="Arial" w:cs="Arial"/>
          <w:color w:val="000000" w:themeColor="text1"/>
          <w:sz w:val="22"/>
          <w:szCs w:val="22"/>
        </w:rPr>
        <w:t xml:space="preserve"> Vidal-</w:t>
      </w:r>
      <w:proofErr w:type="spellStart"/>
      <w:r w:rsidRPr="00027DDA">
        <w:rPr>
          <w:rFonts w:ascii="Arial" w:hAnsi="Arial" w:cs="Arial"/>
          <w:color w:val="000000" w:themeColor="text1"/>
          <w:sz w:val="22"/>
          <w:szCs w:val="22"/>
        </w:rPr>
        <w:t>Verdú</w:t>
      </w:r>
      <w:proofErr w:type="spellEnd"/>
      <w:r w:rsidRPr="00027DDA">
        <w:rPr>
          <w:rFonts w:ascii="Arial" w:hAnsi="Arial" w:cs="Arial"/>
          <w:color w:val="000000" w:themeColor="text1"/>
          <w:sz w:val="22"/>
          <w:szCs w:val="22"/>
        </w:rPr>
        <w:t xml:space="preserve"> and Manuel </w:t>
      </w:r>
      <w:proofErr w:type="spellStart"/>
      <w:r w:rsidRPr="00027DDA">
        <w:rPr>
          <w:rFonts w:ascii="Arial" w:hAnsi="Arial" w:cs="Arial"/>
          <w:color w:val="000000" w:themeColor="text1"/>
          <w:sz w:val="22"/>
          <w:szCs w:val="22"/>
        </w:rPr>
        <w:t>Porcar</w:t>
      </w:r>
      <w:proofErr w:type="spellEnd"/>
      <w:r w:rsidRPr="00027DDA">
        <w:rPr>
          <w:rFonts w:ascii="Arial" w:hAnsi="Arial" w:cs="Arial"/>
          <w:color w:val="000000" w:themeColor="text1"/>
          <w:sz w:val="22"/>
          <w:szCs w:val="22"/>
        </w:rPr>
        <w:t xml:space="preserve"> </w:t>
      </w:r>
      <w:r>
        <w:rPr>
          <w:rFonts w:ascii="Arial" w:hAnsi="Arial" w:cs="Arial"/>
          <w:color w:val="000000" w:themeColor="text1"/>
          <w:sz w:val="22"/>
          <w:szCs w:val="22"/>
        </w:rPr>
        <w:t>offered insight to “…</w:t>
      </w:r>
      <w:r w:rsidRPr="002A7F7E">
        <w:rPr>
          <w:rFonts w:ascii="Arial" w:hAnsi="Arial" w:cs="Arial"/>
          <w:color w:val="000000" w:themeColor="text1"/>
          <w:sz w:val="22"/>
          <w:szCs w:val="22"/>
        </w:rPr>
        <w:t xml:space="preserve">the microbial content of </w:t>
      </w:r>
      <w:r>
        <w:rPr>
          <w:rFonts w:ascii="Arial" w:hAnsi="Arial" w:cs="Arial"/>
          <w:color w:val="000000" w:themeColor="text1"/>
          <w:sz w:val="22"/>
          <w:szCs w:val="22"/>
        </w:rPr>
        <w:t>[improperly discarded]</w:t>
      </w:r>
      <w:r w:rsidRPr="002A7F7E">
        <w:rPr>
          <w:rFonts w:ascii="Arial" w:hAnsi="Arial" w:cs="Arial"/>
          <w:color w:val="000000" w:themeColor="text1"/>
          <w:sz w:val="22"/>
          <w:szCs w:val="22"/>
        </w:rPr>
        <w:t xml:space="preserve"> chewing gums sampled in different locations worldwide as well as the distribution of bacteria depending on the depth (surface, intermediate and bottom layers of the residue)</w:t>
      </w:r>
      <w:r>
        <w:rPr>
          <w:rFonts w:ascii="Arial" w:hAnsi="Arial" w:cs="Arial"/>
          <w:color w:val="000000" w:themeColor="text1"/>
          <w:sz w:val="22"/>
          <w:szCs w:val="22"/>
        </w:rPr>
        <w:t xml:space="preserve">.” The findings may have implications relevant to </w:t>
      </w:r>
      <w:r w:rsidRPr="001069E9">
        <w:rPr>
          <w:rFonts w:ascii="Arial" w:hAnsi="Arial" w:cs="Arial"/>
          <w:color w:val="000000" w:themeColor="text1"/>
          <w:sz w:val="22"/>
          <w:szCs w:val="22"/>
        </w:rPr>
        <w:t xml:space="preserve">forensics, contagious disease </w:t>
      </w:r>
      <w:r>
        <w:rPr>
          <w:rFonts w:ascii="Arial" w:hAnsi="Arial" w:cs="Arial"/>
          <w:color w:val="000000" w:themeColor="text1"/>
          <w:sz w:val="22"/>
          <w:szCs w:val="22"/>
        </w:rPr>
        <w:t>and cleaning up</w:t>
      </w:r>
      <w:r w:rsidRPr="001069E9">
        <w:rPr>
          <w:rFonts w:ascii="Arial" w:hAnsi="Arial" w:cs="Arial"/>
          <w:color w:val="000000" w:themeColor="text1"/>
          <w:sz w:val="22"/>
          <w:szCs w:val="22"/>
        </w:rPr>
        <w:t xml:space="preserve"> chewing gum.</w:t>
      </w:r>
    </w:p>
    <w:p w14:paraId="418B727E" w14:textId="77777777" w:rsidR="00617D6F" w:rsidRDefault="00617D6F" w:rsidP="00617D6F">
      <w:pPr>
        <w:ind w:left="360"/>
        <w:rPr>
          <w:rFonts w:ascii="Arial" w:hAnsi="Arial" w:cs="Arial"/>
          <w:color w:val="000000" w:themeColor="text1"/>
          <w:sz w:val="22"/>
          <w:szCs w:val="22"/>
        </w:rPr>
      </w:pPr>
    </w:p>
    <w:p w14:paraId="1DB430B4" w14:textId="37FEBCED" w:rsidR="00617D6F" w:rsidRDefault="00617D6F" w:rsidP="00617D6F">
      <w:pPr>
        <w:ind w:left="360"/>
        <w:rPr>
          <w:rFonts w:ascii="Arial" w:hAnsi="Arial" w:cs="Arial"/>
          <w:color w:val="000000" w:themeColor="text1"/>
          <w:sz w:val="22"/>
          <w:szCs w:val="22"/>
        </w:rPr>
      </w:pPr>
      <w:r w:rsidRPr="000F36CC">
        <w:rPr>
          <w:rFonts w:ascii="Arial" w:hAnsi="Arial" w:cs="Arial"/>
          <w:b/>
          <w:bCs/>
          <w:color w:val="000000" w:themeColor="text1"/>
          <w:sz w:val="22"/>
          <w:szCs w:val="22"/>
        </w:rPr>
        <w:t>Chemistry</w:t>
      </w:r>
      <w:r>
        <w:rPr>
          <w:rFonts w:ascii="Arial" w:hAnsi="Arial" w:cs="Arial"/>
          <w:b/>
          <w:bCs/>
          <w:color w:val="000000" w:themeColor="text1"/>
          <w:sz w:val="22"/>
          <w:szCs w:val="22"/>
        </w:rPr>
        <w:t xml:space="preserve"> prize</w:t>
      </w:r>
      <w:r>
        <w:rPr>
          <w:rFonts w:ascii="Arial" w:hAnsi="Arial" w:cs="Arial"/>
          <w:color w:val="000000" w:themeColor="text1"/>
          <w:sz w:val="22"/>
          <w:szCs w:val="22"/>
        </w:rPr>
        <w:t>: “</w:t>
      </w:r>
      <w:r w:rsidRPr="0069579E">
        <w:rPr>
          <w:rFonts w:ascii="Arial" w:hAnsi="Arial" w:cs="Arial"/>
          <w:color w:val="000000" w:themeColor="text1"/>
          <w:sz w:val="22"/>
          <w:szCs w:val="22"/>
        </w:rPr>
        <w:t xml:space="preserve">Proof </w:t>
      </w:r>
      <w:r>
        <w:rPr>
          <w:rFonts w:ascii="Arial" w:hAnsi="Arial" w:cs="Arial"/>
          <w:color w:val="000000" w:themeColor="text1"/>
          <w:sz w:val="22"/>
          <w:szCs w:val="22"/>
        </w:rPr>
        <w:t>o</w:t>
      </w:r>
      <w:r w:rsidRPr="0069579E">
        <w:rPr>
          <w:rFonts w:ascii="Arial" w:hAnsi="Arial" w:cs="Arial"/>
          <w:color w:val="000000" w:themeColor="text1"/>
          <w:sz w:val="22"/>
          <w:szCs w:val="22"/>
        </w:rPr>
        <w:t xml:space="preserve">f </w:t>
      </w:r>
      <w:r>
        <w:rPr>
          <w:rFonts w:ascii="Arial" w:hAnsi="Arial" w:cs="Arial"/>
          <w:color w:val="000000" w:themeColor="text1"/>
          <w:sz w:val="22"/>
          <w:szCs w:val="22"/>
        </w:rPr>
        <w:t>C</w:t>
      </w:r>
      <w:r w:rsidRPr="0069579E">
        <w:rPr>
          <w:rFonts w:ascii="Arial" w:hAnsi="Arial" w:cs="Arial"/>
          <w:color w:val="000000" w:themeColor="text1"/>
          <w:sz w:val="22"/>
          <w:szCs w:val="22"/>
        </w:rPr>
        <w:t xml:space="preserve">oncept </w:t>
      </w:r>
      <w:r>
        <w:rPr>
          <w:rFonts w:ascii="Arial" w:hAnsi="Arial" w:cs="Arial"/>
          <w:color w:val="000000" w:themeColor="text1"/>
          <w:sz w:val="22"/>
          <w:szCs w:val="22"/>
        </w:rPr>
        <w:t>S</w:t>
      </w:r>
      <w:r w:rsidRPr="0069579E">
        <w:rPr>
          <w:rFonts w:ascii="Arial" w:hAnsi="Arial" w:cs="Arial"/>
          <w:color w:val="000000" w:themeColor="text1"/>
          <w:sz w:val="22"/>
          <w:szCs w:val="22"/>
        </w:rPr>
        <w:t xml:space="preserve">tudy: Testing </w:t>
      </w:r>
      <w:r>
        <w:rPr>
          <w:rFonts w:ascii="Arial" w:hAnsi="Arial" w:cs="Arial"/>
          <w:color w:val="000000" w:themeColor="text1"/>
          <w:sz w:val="22"/>
          <w:szCs w:val="22"/>
        </w:rPr>
        <w:t>H</w:t>
      </w:r>
      <w:r w:rsidRPr="0069579E">
        <w:rPr>
          <w:rFonts w:ascii="Arial" w:hAnsi="Arial" w:cs="Arial"/>
          <w:color w:val="000000" w:themeColor="text1"/>
          <w:sz w:val="22"/>
          <w:szCs w:val="22"/>
        </w:rPr>
        <w:t xml:space="preserve">uman Volatile Organic Compounds </w:t>
      </w:r>
      <w:r>
        <w:rPr>
          <w:rFonts w:ascii="Arial" w:hAnsi="Arial" w:cs="Arial"/>
          <w:color w:val="000000" w:themeColor="text1"/>
          <w:sz w:val="22"/>
          <w:szCs w:val="22"/>
        </w:rPr>
        <w:t>a</w:t>
      </w:r>
      <w:r w:rsidRPr="0069579E">
        <w:rPr>
          <w:rFonts w:ascii="Arial" w:hAnsi="Arial" w:cs="Arial"/>
          <w:color w:val="000000" w:themeColor="text1"/>
          <w:sz w:val="22"/>
          <w:szCs w:val="22"/>
        </w:rPr>
        <w:t xml:space="preserve">s Tools </w:t>
      </w:r>
      <w:r>
        <w:rPr>
          <w:rFonts w:ascii="Arial" w:hAnsi="Arial" w:cs="Arial"/>
          <w:color w:val="000000" w:themeColor="text1"/>
          <w:sz w:val="22"/>
          <w:szCs w:val="22"/>
        </w:rPr>
        <w:t>f</w:t>
      </w:r>
      <w:r w:rsidRPr="0069579E">
        <w:rPr>
          <w:rFonts w:ascii="Arial" w:hAnsi="Arial" w:cs="Arial"/>
          <w:color w:val="000000" w:themeColor="text1"/>
          <w:sz w:val="22"/>
          <w:szCs w:val="22"/>
        </w:rPr>
        <w:t xml:space="preserve">or Age Classification </w:t>
      </w:r>
      <w:r>
        <w:rPr>
          <w:rFonts w:ascii="Arial" w:hAnsi="Arial" w:cs="Arial"/>
          <w:color w:val="000000" w:themeColor="text1"/>
          <w:sz w:val="22"/>
          <w:szCs w:val="22"/>
        </w:rPr>
        <w:t>o</w:t>
      </w:r>
      <w:r w:rsidRPr="0069579E">
        <w:rPr>
          <w:rFonts w:ascii="Arial" w:hAnsi="Arial" w:cs="Arial"/>
          <w:color w:val="000000" w:themeColor="text1"/>
          <w:sz w:val="22"/>
          <w:szCs w:val="22"/>
        </w:rPr>
        <w:t>f Films</w:t>
      </w:r>
      <w:r>
        <w:rPr>
          <w:rFonts w:ascii="Arial" w:hAnsi="Arial" w:cs="Arial"/>
          <w:color w:val="000000" w:themeColor="text1"/>
          <w:sz w:val="22"/>
          <w:szCs w:val="22"/>
        </w:rPr>
        <w:t>,” which has 10 contributing authors, examined a new method for rating movies: Measuring the emissions of humans watching the movies. “</w:t>
      </w:r>
      <w:r w:rsidRPr="0069579E">
        <w:rPr>
          <w:rFonts w:ascii="Arial" w:hAnsi="Arial" w:cs="Arial"/>
          <w:color w:val="000000" w:themeColor="text1"/>
          <w:sz w:val="22"/>
          <w:szCs w:val="22"/>
        </w:rPr>
        <w:t xml:space="preserve">Humans emit numerous volatile organic compounds through breath and skin. The nature and rate of these emissions are affected by various factors including emotional state. Previous measurements of </w:t>
      </w:r>
      <w:r>
        <w:rPr>
          <w:rFonts w:ascii="Arial" w:hAnsi="Arial" w:cs="Arial"/>
          <w:color w:val="000000" w:themeColor="text1"/>
          <w:sz w:val="22"/>
          <w:szCs w:val="22"/>
        </w:rPr>
        <w:t>[these emissions]</w:t>
      </w:r>
      <w:r w:rsidRPr="0069579E">
        <w:rPr>
          <w:rFonts w:ascii="Arial" w:hAnsi="Arial" w:cs="Arial"/>
          <w:color w:val="000000" w:themeColor="text1"/>
          <w:sz w:val="22"/>
          <w:szCs w:val="22"/>
        </w:rPr>
        <w:t xml:space="preserve"> in a cinema have shown that certain chemicals are reproducibly emitted by audiences reacting to events in a particular film.</w:t>
      </w:r>
      <w:r>
        <w:rPr>
          <w:rFonts w:ascii="Arial" w:hAnsi="Arial" w:cs="Arial"/>
          <w:color w:val="000000" w:themeColor="text1"/>
          <w:sz w:val="22"/>
          <w:szCs w:val="22"/>
        </w:rPr>
        <w:t>”</w:t>
      </w:r>
    </w:p>
    <w:p w14:paraId="24BD3692" w14:textId="77777777" w:rsidR="00617D6F" w:rsidRDefault="00617D6F" w:rsidP="00617D6F">
      <w:pPr>
        <w:ind w:left="360"/>
        <w:rPr>
          <w:rFonts w:ascii="Arial" w:hAnsi="Arial" w:cs="Arial"/>
          <w:color w:val="000000" w:themeColor="text1"/>
          <w:sz w:val="22"/>
          <w:szCs w:val="22"/>
        </w:rPr>
      </w:pPr>
    </w:p>
    <w:p w14:paraId="09E335F7" w14:textId="75B469FA" w:rsidR="00617D6F" w:rsidRPr="00782A21" w:rsidRDefault="00617D6F" w:rsidP="00617D6F">
      <w:pPr>
        <w:ind w:left="360"/>
        <w:rPr>
          <w:rFonts w:ascii="Arial" w:hAnsi="Arial" w:cs="Arial"/>
          <w:color w:val="000000" w:themeColor="text1"/>
          <w:sz w:val="22"/>
          <w:szCs w:val="22"/>
        </w:rPr>
      </w:pPr>
      <w:r>
        <w:rPr>
          <w:rFonts w:ascii="Arial" w:hAnsi="Arial" w:cs="Arial"/>
          <w:b/>
          <w:bCs/>
          <w:color w:val="000000" w:themeColor="text1"/>
          <w:sz w:val="22"/>
          <w:szCs w:val="22"/>
        </w:rPr>
        <w:t>Transportation prize</w:t>
      </w:r>
      <w:r>
        <w:rPr>
          <w:rFonts w:ascii="Arial" w:hAnsi="Arial" w:cs="Arial"/>
          <w:color w:val="000000" w:themeColor="text1"/>
          <w:sz w:val="22"/>
          <w:szCs w:val="22"/>
        </w:rPr>
        <w:t>: Have you ever wondered whether hanging a rhinoceros upside down would affect its health, a team from Cornell University has the answer. These researchers suspended a dozen tranquilized rhinos upside-down for 10 minutes to simulate a common form of transfer used by wildlife conservationists in Africa. The finding, published in t</w:t>
      </w:r>
      <w:r w:rsidRPr="00990061">
        <w:rPr>
          <w:rFonts w:ascii="Arial" w:hAnsi="Arial" w:cs="Arial"/>
          <w:color w:val="000000" w:themeColor="text1"/>
          <w:sz w:val="22"/>
          <w:szCs w:val="22"/>
        </w:rPr>
        <w:t>he</w:t>
      </w:r>
      <w:r>
        <w:rPr>
          <w:rFonts w:ascii="Arial" w:hAnsi="Arial" w:cs="Arial"/>
          <w:color w:val="000000" w:themeColor="text1"/>
          <w:sz w:val="22"/>
          <w:szCs w:val="22"/>
        </w:rPr>
        <w:t xml:space="preserve"> </w:t>
      </w:r>
      <w:r w:rsidRPr="00782A21">
        <w:rPr>
          <w:rFonts w:ascii="Arial" w:hAnsi="Arial" w:cs="Arial"/>
          <w:i/>
          <w:iCs/>
          <w:color w:val="000000" w:themeColor="text1"/>
          <w:sz w:val="22"/>
          <w:szCs w:val="22"/>
        </w:rPr>
        <w:t>Journal of Wildlife Diseases</w:t>
      </w:r>
      <w:r>
        <w:rPr>
          <w:rFonts w:ascii="Arial" w:hAnsi="Arial" w:cs="Arial"/>
          <w:i/>
          <w:iCs/>
          <w:color w:val="000000" w:themeColor="text1"/>
          <w:sz w:val="22"/>
          <w:szCs w:val="22"/>
        </w:rPr>
        <w:t>,</w:t>
      </w:r>
      <w:r>
        <w:rPr>
          <w:rFonts w:ascii="Arial" w:hAnsi="Arial" w:cs="Arial"/>
          <w:color w:val="000000" w:themeColor="text1"/>
          <w:sz w:val="22"/>
          <w:szCs w:val="22"/>
        </w:rPr>
        <w:t xml:space="preserve"> was that it may be safer to transport a rhino upside down rather than on its side.</w:t>
      </w:r>
    </w:p>
    <w:p w14:paraId="6C99FDAC" w14:textId="77777777" w:rsidR="00617D6F" w:rsidRDefault="00617D6F" w:rsidP="00617D6F">
      <w:pPr>
        <w:rPr>
          <w:rFonts w:ascii="Arial" w:hAnsi="Arial" w:cs="Arial"/>
          <w:color w:val="000000" w:themeColor="text1"/>
          <w:sz w:val="22"/>
          <w:szCs w:val="22"/>
        </w:rPr>
      </w:pPr>
    </w:p>
    <w:p w14:paraId="6AA5B17C" w14:textId="765CB893" w:rsidR="00617D6F" w:rsidRDefault="00617D6F" w:rsidP="00617D6F">
      <w:pPr>
        <w:rPr>
          <w:rFonts w:ascii="Arial" w:hAnsi="Arial" w:cs="Arial"/>
          <w:color w:val="000000" w:themeColor="text1"/>
          <w:sz w:val="22"/>
          <w:szCs w:val="22"/>
        </w:rPr>
      </w:pPr>
      <w:r>
        <w:rPr>
          <w:rFonts w:ascii="Arial" w:hAnsi="Arial" w:cs="Arial"/>
          <w:color w:val="000000" w:themeColor="text1"/>
          <w:sz w:val="22"/>
          <w:szCs w:val="22"/>
        </w:rPr>
        <w:t>Prizes also were awarded in the fields of entomology, physics, kinetics, medicine, economics and peace.</w:t>
      </w:r>
    </w:p>
    <w:p w14:paraId="7196C194" w14:textId="77777777" w:rsidR="00617D6F" w:rsidRPr="00EF78F4" w:rsidRDefault="00617D6F" w:rsidP="00617D6F">
      <w:pPr>
        <w:tabs>
          <w:tab w:val="left" w:pos="8550"/>
        </w:tabs>
        <w:rPr>
          <w:rFonts w:ascii="Arial" w:hAnsi="Arial" w:cs="Arial"/>
          <w:bCs/>
          <w:color w:val="000000" w:themeColor="text1"/>
          <w:sz w:val="22"/>
          <w:szCs w:val="22"/>
        </w:rPr>
      </w:pPr>
    </w:p>
    <w:p w14:paraId="3F8D3B4F" w14:textId="77777777" w:rsidR="00617D6F" w:rsidRPr="00DF4D98" w:rsidRDefault="00617D6F" w:rsidP="00617D6F">
      <w:pPr>
        <w:tabs>
          <w:tab w:val="left" w:pos="-3150"/>
          <w:tab w:val="left" w:pos="8550"/>
        </w:tabs>
        <w:rPr>
          <w:rFonts w:ascii="Arial" w:hAnsi="Arial" w:cs="Arial"/>
          <w:b/>
          <w:bCs/>
          <w:color w:val="0D304A"/>
          <w:sz w:val="28"/>
          <w:szCs w:val="28"/>
        </w:rPr>
      </w:pPr>
      <w:r w:rsidRPr="00DF4D98">
        <w:rPr>
          <w:rFonts w:ascii="Arial" w:hAnsi="Arial" w:cs="Arial"/>
          <w:b/>
          <w:bCs/>
          <w:color w:val="0D304A"/>
          <w:sz w:val="28"/>
          <w:szCs w:val="28"/>
        </w:rPr>
        <w:t xml:space="preserve">Weekly Focus – Think About It </w:t>
      </w:r>
    </w:p>
    <w:p w14:paraId="282918F2" w14:textId="77777777" w:rsidR="00617D6F" w:rsidRDefault="00617D6F" w:rsidP="00617D6F">
      <w:pPr>
        <w:rPr>
          <w:rFonts w:ascii="Arial" w:hAnsi="Arial" w:cs="Arial"/>
          <w:bCs/>
          <w:color w:val="000000" w:themeColor="text1"/>
          <w:sz w:val="22"/>
          <w:szCs w:val="22"/>
        </w:rPr>
      </w:pPr>
      <w:r w:rsidRPr="0019209E">
        <w:rPr>
          <w:rFonts w:ascii="Arial" w:hAnsi="Arial" w:cs="Arial"/>
          <w:color w:val="000000" w:themeColor="text1"/>
          <w:sz w:val="22"/>
          <w:szCs w:val="22"/>
        </w:rPr>
        <w:t>“</w:t>
      </w:r>
      <w:r w:rsidRPr="0019209E">
        <w:rPr>
          <w:rFonts w:ascii="Arial" w:hAnsi="Arial" w:cs="Arial"/>
          <w:bCs/>
          <w:color w:val="000000" w:themeColor="text1"/>
          <w:sz w:val="22"/>
          <w:szCs w:val="22"/>
        </w:rPr>
        <w:t xml:space="preserve">The most exciting phrase to hear in science, the one that heralds the most discoveries, is not ‘Eureka!’ but </w:t>
      </w:r>
      <w:r>
        <w:rPr>
          <w:rFonts w:ascii="Arial" w:hAnsi="Arial" w:cs="Arial"/>
          <w:bCs/>
          <w:color w:val="000000" w:themeColor="text1"/>
          <w:sz w:val="22"/>
          <w:szCs w:val="22"/>
        </w:rPr>
        <w:t>‘</w:t>
      </w:r>
      <w:r w:rsidRPr="0019209E">
        <w:rPr>
          <w:rFonts w:ascii="Arial" w:hAnsi="Arial" w:cs="Arial"/>
          <w:bCs/>
          <w:color w:val="000000" w:themeColor="text1"/>
          <w:sz w:val="22"/>
          <w:szCs w:val="22"/>
        </w:rPr>
        <w:t>That’s funny…</w:t>
      </w:r>
      <w:r>
        <w:rPr>
          <w:rFonts w:ascii="Arial" w:hAnsi="Arial" w:cs="Arial"/>
          <w:bCs/>
          <w:color w:val="000000" w:themeColor="text1"/>
          <w:sz w:val="22"/>
          <w:szCs w:val="22"/>
        </w:rPr>
        <w:t>’</w:t>
      </w:r>
      <w:r w:rsidRPr="0019209E">
        <w:rPr>
          <w:rFonts w:ascii="Arial" w:hAnsi="Arial" w:cs="Arial"/>
          <w:bCs/>
          <w:color w:val="000000" w:themeColor="text1"/>
          <w:sz w:val="22"/>
          <w:szCs w:val="22"/>
        </w:rPr>
        <w:t>”</w:t>
      </w:r>
    </w:p>
    <w:p w14:paraId="4BAECE2F" w14:textId="51393556" w:rsidR="00617D6F" w:rsidRPr="00C41974" w:rsidRDefault="00617D6F" w:rsidP="00617D6F">
      <w:pPr>
        <w:jc w:val="right"/>
        <w:rPr>
          <w:rFonts w:ascii="Arial" w:hAnsi="Arial" w:cs="Arial"/>
          <w:i/>
          <w:iCs/>
          <w:color w:val="000000" w:themeColor="text1"/>
          <w:sz w:val="22"/>
          <w:szCs w:val="22"/>
        </w:rPr>
      </w:pPr>
      <w:r>
        <w:rPr>
          <w:rFonts w:ascii="Arial" w:hAnsi="Arial" w:cs="Arial"/>
          <w:bCs/>
          <w:i/>
          <w:iCs/>
          <w:color w:val="000000" w:themeColor="text1"/>
          <w:sz w:val="22"/>
          <w:szCs w:val="22"/>
        </w:rPr>
        <w:t>—</w:t>
      </w:r>
      <w:r w:rsidRPr="00C41974">
        <w:rPr>
          <w:rFonts w:ascii="Arial" w:hAnsi="Arial" w:cs="Arial"/>
          <w:bCs/>
          <w:i/>
          <w:iCs/>
          <w:color w:val="000000" w:themeColor="text1"/>
          <w:sz w:val="22"/>
          <w:szCs w:val="22"/>
        </w:rPr>
        <w:t>Isaac Asimov, Biochemistry professor and author</w:t>
      </w:r>
    </w:p>
    <w:p w14:paraId="14211774" w14:textId="77777777" w:rsidR="00617D6F" w:rsidRPr="00D2669E" w:rsidRDefault="00617D6F" w:rsidP="0056229A">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750A54BB" w14:textId="77777777" w:rsidR="00511EEB" w:rsidRDefault="00511EEB" w:rsidP="00511EEB">
      <w:pPr>
        <w:ind w:right="-36"/>
        <w:rPr>
          <w:rFonts w:ascii="Arial" w:hAnsi="Arial" w:cs="Arial"/>
          <w:color w:val="000000"/>
          <w:sz w:val="18"/>
          <w:szCs w:val="18"/>
        </w:rPr>
      </w:pPr>
    </w:p>
    <w:p w14:paraId="2861845E" w14:textId="77777777" w:rsidR="00511EEB" w:rsidRDefault="00511EEB" w:rsidP="00511EEB">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01FDC7F" w14:textId="77777777" w:rsidR="00511EEB" w:rsidRDefault="00511EEB" w:rsidP="00511EEB">
      <w:pPr>
        <w:pStyle w:val="NormalWeb"/>
        <w:spacing w:before="0" w:beforeAutospacing="0" w:after="0" w:afterAutospacing="0"/>
        <w:rPr>
          <w:rFonts w:ascii="Arial" w:hAnsi="Arial" w:cs="Arial"/>
          <w:sz w:val="22"/>
          <w:szCs w:val="22"/>
        </w:rPr>
      </w:pPr>
    </w:p>
    <w:p w14:paraId="215ABF84" w14:textId="77777777" w:rsidR="00511EEB" w:rsidRDefault="00511EEB" w:rsidP="00511EEB">
      <w:pPr>
        <w:rPr>
          <w:rFonts w:ascii="Arial" w:hAnsi="Arial" w:cs="Arial"/>
          <w:sz w:val="22"/>
          <w:szCs w:val="22"/>
        </w:rPr>
      </w:pPr>
      <w:r>
        <w:rPr>
          <w:rFonts w:ascii="Arial" w:hAnsi="Arial" w:cs="Arial"/>
          <w:sz w:val="22"/>
          <w:szCs w:val="22"/>
        </w:rPr>
        <w:t>Securities offered through Commonwealth Financial, Member FINRA/SIPC.</w:t>
      </w:r>
    </w:p>
    <w:p w14:paraId="3171FA74" w14:textId="77777777" w:rsidR="00511EEB" w:rsidRDefault="00511EEB" w:rsidP="00511EEB">
      <w:pPr>
        <w:rPr>
          <w:rFonts w:ascii="Arial" w:hAnsi="Arial" w:cs="Arial"/>
          <w:color w:val="000000"/>
          <w:sz w:val="18"/>
          <w:szCs w:val="18"/>
        </w:rPr>
      </w:pP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3E3ECF52" w14:textId="77777777" w:rsidR="0056229A" w:rsidRPr="00B56857" w:rsidRDefault="0056229A" w:rsidP="0056229A">
      <w:pPr>
        <w:rPr>
          <w:rFonts w:ascii="Arial" w:hAnsi="Arial" w:cs="Arial"/>
          <w:color w:val="000000"/>
          <w:sz w:val="18"/>
          <w:szCs w:val="18"/>
        </w:rPr>
      </w:pPr>
    </w:p>
    <w:p w14:paraId="0AA454E9" w14:textId="77777777" w:rsidR="0056229A" w:rsidRPr="00B56857" w:rsidRDefault="0056229A" w:rsidP="0056229A">
      <w:pPr>
        <w:widowControl w:val="0"/>
        <w:adjustRightInd w:val="0"/>
        <w:ind w:right="-36"/>
        <w:rPr>
          <w:rFonts w:ascii="Arial" w:hAnsi="Arial" w:cs="Arial"/>
          <w:sz w:val="22"/>
          <w:szCs w:val="22"/>
        </w:rPr>
      </w:pPr>
    </w:p>
    <w:p w14:paraId="1AF703E2" w14:textId="77777777" w:rsidR="00646F05" w:rsidRPr="00933C01" w:rsidRDefault="00646F05" w:rsidP="00646F05">
      <w:pPr>
        <w:widowControl w:val="0"/>
        <w:adjustRightInd w:val="0"/>
        <w:ind w:right="-36"/>
        <w:rPr>
          <w:rFonts w:ascii="Arial" w:hAnsi="Arial" w:cs="Arial"/>
          <w:sz w:val="18"/>
          <w:szCs w:val="18"/>
        </w:rPr>
      </w:pPr>
      <w:r w:rsidRPr="00933C01">
        <w:rPr>
          <w:rFonts w:ascii="Arial" w:hAnsi="Arial" w:cs="Arial"/>
          <w:sz w:val="18"/>
          <w:szCs w:val="18"/>
        </w:rPr>
        <w:t>Sources:</w:t>
      </w:r>
    </w:p>
    <w:p w14:paraId="115CB3D2" w14:textId="0D35D548" w:rsidR="00646F05" w:rsidRPr="00E82C33" w:rsidRDefault="00511EEB" w:rsidP="00646F05">
      <w:pPr>
        <w:pStyle w:val="EndnoteText"/>
        <w:rPr>
          <w:rFonts w:ascii="Arial" w:hAnsi="Arial" w:cs="Arial"/>
          <w:sz w:val="18"/>
          <w:szCs w:val="18"/>
        </w:rPr>
      </w:pPr>
      <w:hyperlink r:id="rId5" w:history="1">
        <w:r w:rsidR="00646F05" w:rsidRPr="00F672C6">
          <w:rPr>
            <w:rStyle w:val="Hyperlink"/>
            <w:rFonts w:ascii="Arial" w:hAnsi="Arial" w:cs="Arial"/>
            <w:sz w:val="18"/>
            <w:szCs w:val="18"/>
          </w:rPr>
          <w:t>https://www.cdc.gov/coronavirus/2019-ncov/covid-data/covidview/index.html</w:t>
        </w:r>
      </w:hyperlink>
      <w:r w:rsidR="00646F05">
        <w:rPr>
          <w:rFonts w:ascii="Arial" w:hAnsi="Arial" w:cs="Arial"/>
          <w:sz w:val="18"/>
          <w:szCs w:val="18"/>
        </w:rPr>
        <w:t xml:space="preserve"> (</w:t>
      </w:r>
      <w:r w:rsidR="00646F05" w:rsidRPr="00E82C33">
        <w:rPr>
          <w:rFonts w:ascii="Arial" w:hAnsi="Arial" w:cs="Arial"/>
          <w:i/>
          <w:iCs/>
          <w:sz w:val="18"/>
          <w:szCs w:val="18"/>
        </w:rPr>
        <w:t>or go to</w:t>
      </w:r>
      <w:r w:rsidR="00646F05">
        <w:rPr>
          <w:rFonts w:ascii="Arial" w:hAnsi="Arial" w:cs="Arial"/>
          <w:sz w:val="18"/>
          <w:szCs w:val="18"/>
        </w:rPr>
        <w:t xml:space="preserve"> </w:t>
      </w:r>
      <w:hyperlink r:id="rId6" w:history="1">
        <w:r w:rsidR="00646F05" w:rsidRPr="00F672C6">
          <w:rPr>
            <w:rStyle w:val="Hyperlink"/>
            <w:rFonts w:ascii="Arial" w:hAnsi="Arial" w:cs="Arial"/>
            <w:sz w:val="18"/>
            <w:szCs w:val="18"/>
          </w:rPr>
          <w:t>https://resources.carsongroup.com/hubfs/WMC-Source/2021/09-13-21_Washington%20Post_Denmark%20lifts%20all%20coronavirus%20restrictions_1.pdf</w:t>
        </w:r>
      </w:hyperlink>
      <w:r w:rsidR="00646F05">
        <w:rPr>
          <w:rFonts w:ascii="Arial" w:hAnsi="Arial" w:cs="Arial"/>
          <w:sz w:val="18"/>
          <w:szCs w:val="18"/>
        </w:rPr>
        <w:t xml:space="preserve">) </w:t>
      </w:r>
    </w:p>
    <w:p w14:paraId="2C6B340A" w14:textId="3D880134" w:rsidR="00646F05" w:rsidRPr="00933C01" w:rsidRDefault="00511EEB" w:rsidP="00646F05">
      <w:pPr>
        <w:pStyle w:val="EndnoteText"/>
        <w:rPr>
          <w:rFonts w:ascii="Arial" w:hAnsi="Arial" w:cs="Arial"/>
          <w:sz w:val="18"/>
          <w:szCs w:val="18"/>
        </w:rPr>
      </w:pPr>
      <w:hyperlink r:id="rId7" w:history="1">
        <w:r w:rsidR="00646F05" w:rsidRPr="00F672C6">
          <w:rPr>
            <w:rStyle w:val="Hyperlink"/>
            <w:rFonts w:ascii="Arial" w:hAnsi="Arial" w:cs="Arial"/>
            <w:sz w:val="18"/>
            <w:szCs w:val="18"/>
          </w:rPr>
          <w:t>https://www.barrons.com/articles/heres-an-inconvenient-truth-the-growth-slowdown-goes-beyond-the-delta-variant-51631307629?mod=hp_columnists</w:t>
        </w:r>
      </w:hyperlink>
    </w:p>
    <w:p w14:paraId="27B838AE" w14:textId="18A4DF5E" w:rsidR="00646F05" w:rsidRDefault="00511EEB" w:rsidP="00646F05">
      <w:pPr>
        <w:pStyle w:val="EndnoteText"/>
        <w:rPr>
          <w:rFonts w:ascii="Arial" w:hAnsi="Arial" w:cs="Arial"/>
          <w:sz w:val="18"/>
          <w:szCs w:val="18"/>
        </w:rPr>
      </w:pPr>
      <w:hyperlink r:id="rId8" w:history="1">
        <w:r w:rsidR="00646F05" w:rsidRPr="00F672C6">
          <w:rPr>
            <w:rStyle w:val="Hyperlink"/>
            <w:rFonts w:ascii="Arial" w:hAnsi="Arial" w:cs="Arial"/>
            <w:sz w:val="18"/>
            <w:szCs w:val="18"/>
          </w:rPr>
          <w:t>https://www.axios.com/airlines-covid-ticket-sales-projections-43bac1f0-3bfa-43b0-b06f-01aeb2afecf1.html</w:t>
        </w:r>
      </w:hyperlink>
      <w:r w:rsidR="00646F05">
        <w:rPr>
          <w:rFonts w:ascii="Arial" w:hAnsi="Arial" w:cs="Arial"/>
          <w:sz w:val="18"/>
          <w:szCs w:val="18"/>
        </w:rPr>
        <w:t xml:space="preserve"> (</w:t>
      </w:r>
      <w:r w:rsidR="00646F05" w:rsidRPr="00E82C33">
        <w:rPr>
          <w:rFonts w:ascii="Arial" w:hAnsi="Arial" w:cs="Arial"/>
          <w:i/>
          <w:iCs/>
          <w:sz w:val="18"/>
          <w:szCs w:val="18"/>
        </w:rPr>
        <w:t xml:space="preserve">or go to </w:t>
      </w:r>
      <w:hyperlink r:id="rId9" w:history="1">
        <w:r w:rsidR="00646F05" w:rsidRPr="00F672C6">
          <w:rPr>
            <w:rStyle w:val="Hyperlink"/>
            <w:rFonts w:ascii="Arial" w:hAnsi="Arial" w:cs="Arial"/>
            <w:sz w:val="18"/>
            <w:szCs w:val="18"/>
          </w:rPr>
          <w:t>https://resources.carsongroup.com/hubfs/WMC-Source/2021/09-13-21_Barrons_Heres%20an%20Inconvenient%20Truth_3.pdf</w:t>
        </w:r>
      </w:hyperlink>
      <w:r w:rsidR="00646F05">
        <w:rPr>
          <w:rFonts w:ascii="Arial" w:hAnsi="Arial" w:cs="Arial"/>
          <w:sz w:val="18"/>
          <w:szCs w:val="18"/>
        </w:rPr>
        <w:t xml:space="preserve">) </w:t>
      </w:r>
    </w:p>
    <w:p w14:paraId="616324E7" w14:textId="66279C52" w:rsidR="00646F05" w:rsidRPr="00933C01" w:rsidRDefault="00511EEB" w:rsidP="00646F05">
      <w:pPr>
        <w:pStyle w:val="EndnoteText"/>
        <w:rPr>
          <w:rFonts w:ascii="Arial" w:hAnsi="Arial" w:cs="Arial"/>
          <w:sz w:val="18"/>
          <w:szCs w:val="18"/>
        </w:rPr>
      </w:pPr>
      <w:hyperlink r:id="rId10" w:history="1">
        <w:r w:rsidR="00646F05" w:rsidRPr="00933C01">
          <w:rPr>
            <w:rStyle w:val="Hyperlink"/>
            <w:rFonts w:ascii="Arial" w:hAnsi="Arial" w:cs="Arial"/>
            <w:sz w:val="18"/>
            <w:szCs w:val="18"/>
          </w:rPr>
          <w:t>https://www.axios.com/ppg-industries-supply-chain-earnings-disruption-7263631e-1a34-4745-8fe5-0538fcc1b771.html</w:t>
        </w:r>
      </w:hyperlink>
    </w:p>
    <w:p w14:paraId="77439FB7" w14:textId="3F041676" w:rsidR="00646F05" w:rsidRPr="00646F05" w:rsidRDefault="00511EEB" w:rsidP="00646F05">
      <w:pPr>
        <w:pStyle w:val="EndnoteText"/>
        <w:rPr>
          <w:rStyle w:val="Hyperlink"/>
          <w:rFonts w:ascii="Arial" w:hAnsi="Arial" w:cs="Arial"/>
          <w:sz w:val="18"/>
          <w:szCs w:val="18"/>
        </w:rPr>
      </w:pPr>
      <w:hyperlink r:id="rId11" w:history="1">
        <w:r w:rsidR="00646F05" w:rsidRPr="00646F05">
          <w:rPr>
            <w:rStyle w:val="Hyperlink"/>
            <w:rFonts w:ascii="Arial" w:hAnsi="Arial" w:cs="Arial"/>
            <w:sz w:val="18"/>
            <w:szCs w:val="18"/>
          </w:rPr>
          <w:t>https://www.factset.com/hubfs/Website/Resources%20Section/Research%20Desk/Earnings%20Insight/EarningsInsight_091021.pdf</w:t>
        </w:r>
      </w:hyperlink>
    </w:p>
    <w:p w14:paraId="1073E9FD" w14:textId="4530AC02" w:rsidR="00646F05" w:rsidRDefault="00511EEB" w:rsidP="00646F05">
      <w:pPr>
        <w:pStyle w:val="EndnoteText"/>
        <w:rPr>
          <w:rFonts w:ascii="Arial" w:hAnsi="Arial" w:cs="Arial"/>
          <w:sz w:val="18"/>
          <w:szCs w:val="18"/>
        </w:rPr>
      </w:pPr>
      <w:hyperlink r:id="rId12" w:history="1">
        <w:r w:rsidR="00646F05" w:rsidRPr="00F672C6">
          <w:rPr>
            <w:rStyle w:val="Hyperlink"/>
            <w:rFonts w:ascii="Arial" w:hAnsi="Arial" w:cs="Arial"/>
            <w:sz w:val="18"/>
            <w:szCs w:val="18"/>
          </w:rPr>
          <w:t>https://www.barrons.com/articles/stock-market-selloffs-need-a-trigger-heres-what-could-cause-the-next-one-51631322248?refsec=the-trader</w:t>
        </w:r>
      </w:hyperlink>
      <w:r w:rsidR="00646F05">
        <w:rPr>
          <w:rFonts w:ascii="Arial" w:hAnsi="Arial" w:cs="Arial"/>
          <w:sz w:val="18"/>
          <w:szCs w:val="18"/>
        </w:rPr>
        <w:t xml:space="preserve"> (</w:t>
      </w:r>
      <w:r w:rsidR="00646F05" w:rsidRPr="00E82C33">
        <w:rPr>
          <w:rFonts w:ascii="Arial" w:hAnsi="Arial" w:cs="Arial"/>
          <w:i/>
          <w:iCs/>
          <w:sz w:val="18"/>
          <w:szCs w:val="18"/>
        </w:rPr>
        <w:t>or go to</w:t>
      </w:r>
      <w:r w:rsidR="00646F05">
        <w:rPr>
          <w:rFonts w:ascii="Arial" w:hAnsi="Arial" w:cs="Arial"/>
          <w:sz w:val="18"/>
          <w:szCs w:val="18"/>
        </w:rPr>
        <w:t xml:space="preserve"> </w:t>
      </w:r>
      <w:hyperlink r:id="rId13" w:history="1">
        <w:r w:rsidR="00646F05" w:rsidRPr="00F672C6">
          <w:rPr>
            <w:rStyle w:val="Hyperlink"/>
            <w:rFonts w:ascii="Arial" w:hAnsi="Arial" w:cs="Arial"/>
            <w:sz w:val="18"/>
            <w:szCs w:val="18"/>
          </w:rPr>
          <w:t>https://resources.carsongroup.com/hubfs/WMC-Source/2021/09_13_21_Barrons_A%20Stock%20Market%20Selloff%20Needs%20a%20Trigger_6.pdf</w:t>
        </w:r>
      </w:hyperlink>
      <w:r w:rsidR="00646F05">
        <w:rPr>
          <w:rFonts w:ascii="Arial" w:hAnsi="Arial" w:cs="Arial"/>
          <w:sz w:val="18"/>
          <w:szCs w:val="18"/>
        </w:rPr>
        <w:t xml:space="preserve">) </w:t>
      </w:r>
    </w:p>
    <w:p w14:paraId="49E455DE" w14:textId="793B487B" w:rsidR="00646F05" w:rsidRDefault="00511EEB" w:rsidP="00646F05">
      <w:pPr>
        <w:pStyle w:val="EndnoteText"/>
        <w:rPr>
          <w:rFonts w:ascii="Arial" w:hAnsi="Arial" w:cs="Arial"/>
          <w:sz w:val="18"/>
          <w:szCs w:val="18"/>
        </w:rPr>
      </w:pPr>
      <w:hyperlink r:id="rId14" w:history="1">
        <w:r w:rsidR="00646F05" w:rsidRPr="00F672C6">
          <w:rPr>
            <w:rStyle w:val="Hyperlink"/>
            <w:rFonts w:ascii="Arial" w:hAnsi="Arial" w:cs="Arial"/>
            <w:sz w:val="18"/>
            <w:szCs w:val="18"/>
          </w:rPr>
          <w:t>https://www.treasury.gov/resource-center/data-chart-center/interest-rates/Pages/TextView.aspx?data=yield</w:t>
        </w:r>
      </w:hyperlink>
    </w:p>
    <w:p w14:paraId="57BF0003" w14:textId="11FEDB99" w:rsidR="00646F05" w:rsidRPr="00933C01" w:rsidRDefault="00511EEB" w:rsidP="00646F05">
      <w:pPr>
        <w:pStyle w:val="EndnoteText"/>
        <w:rPr>
          <w:rFonts w:ascii="Arial" w:hAnsi="Arial" w:cs="Arial"/>
          <w:sz w:val="18"/>
          <w:szCs w:val="18"/>
        </w:rPr>
      </w:pPr>
      <w:hyperlink r:id="rId15" w:history="1">
        <w:r w:rsidR="00646F05" w:rsidRPr="00933C01">
          <w:rPr>
            <w:rStyle w:val="Hyperlink"/>
            <w:rFonts w:ascii="Arial" w:hAnsi="Arial" w:cs="Arial"/>
            <w:sz w:val="18"/>
            <w:szCs w:val="18"/>
          </w:rPr>
          <w:t>https://www.improbable.com/2021-ceremony/ig-nobel-prizes/</w:t>
        </w:r>
      </w:hyperlink>
    </w:p>
    <w:p w14:paraId="55704F2D" w14:textId="1F04B0C9" w:rsidR="00646F05" w:rsidRDefault="00511EEB" w:rsidP="00646F05">
      <w:pPr>
        <w:pStyle w:val="EndnoteText"/>
        <w:rPr>
          <w:rFonts w:ascii="Arial" w:hAnsi="Arial" w:cs="Arial"/>
          <w:sz w:val="18"/>
          <w:szCs w:val="18"/>
        </w:rPr>
      </w:pPr>
      <w:hyperlink r:id="rId16" w:history="1">
        <w:r w:rsidR="00646F05" w:rsidRPr="00F672C6">
          <w:rPr>
            <w:rStyle w:val="Hyperlink"/>
            <w:rFonts w:ascii="Arial" w:hAnsi="Arial" w:cs="Arial"/>
            <w:sz w:val="18"/>
            <w:szCs w:val="18"/>
          </w:rPr>
          <w:t>https://www.diva-portal.org/smash/get/diva2:539090/FULLTEXT01.pdf</w:t>
        </w:r>
      </w:hyperlink>
    </w:p>
    <w:p w14:paraId="509A5441" w14:textId="4A4DA01F" w:rsidR="00646F05" w:rsidRDefault="00511EEB" w:rsidP="00646F05">
      <w:pPr>
        <w:pStyle w:val="EndnoteText"/>
        <w:rPr>
          <w:rFonts w:ascii="Arial" w:hAnsi="Arial" w:cs="Arial"/>
          <w:sz w:val="18"/>
          <w:szCs w:val="18"/>
        </w:rPr>
      </w:pPr>
      <w:hyperlink r:id="rId17" w:history="1">
        <w:r w:rsidR="00646F05" w:rsidRPr="00F672C6">
          <w:rPr>
            <w:rStyle w:val="Hyperlink"/>
            <w:rFonts w:ascii="Arial" w:hAnsi="Arial" w:cs="Arial"/>
            <w:sz w:val="18"/>
            <w:szCs w:val="18"/>
          </w:rPr>
          <w:t>https://www.improbable.com</w:t>
        </w:r>
      </w:hyperlink>
    </w:p>
    <w:p w14:paraId="4B9F1276" w14:textId="24F79CF8" w:rsidR="00646F05" w:rsidRDefault="00511EEB" w:rsidP="00646F05">
      <w:pPr>
        <w:pStyle w:val="EndnoteText"/>
        <w:rPr>
          <w:rFonts w:ascii="Arial" w:hAnsi="Arial" w:cs="Arial"/>
          <w:sz w:val="18"/>
          <w:szCs w:val="18"/>
        </w:rPr>
      </w:pPr>
      <w:hyperlink r:id="rId18" w:history="1">
        <w:r w:rsidR="00646F05" w:rsidRPr="00F672C6">
          <w:rPr>
            <w:rStyle w:val="Hyperlink"/>
            <w:rFonts w:ascii="Arial" w:hAnsi="Arial" w:cs="Arial"/>
            <w:sz w:val="18"/>
            <w:szCs w:val="18"/>
          </w:rPr>
          <w:t>https://www.nature.com/articles/s41598-020-73913-4</w:t>
        </w:r>
      </w:hyperlink>
    </w:p>
    <w:p w14:paraId="5A8EE44B" w14:textId="2F11C97B" w:rsidR="00646F05" w:rsidRPr="00646F05" w:rsidRDefault="00511EEB" w:rsidP="00646F05">
      <w:pPr>
        <w:pStyle w:val="EndnoteText"/>
        <w:rPr>
          <w:rStyle w:val="Hyperlink"/>
        </w:rPr>
      </w:pPr>
      <w:hyperlink r:id="rId19" w:history="1">
        <w:r w:rsidR="00646F05" w:rsidRPr="00646F05">
          <w:rPr>
            <w:rStyle w:val="Hyperlink"/>
            <w:rFonts w:ascii="Arial" w:hAnsi="Arial" w:cs="Arial"/>
            <w:sz w:val="18"/>
            <w:szCs w:val="18"/>
          </w:rPr>
          <w:t>https://journals.plos.org/plosone/article?id=10.1371/journal.pone.0203044</w:t>
        </w:r>
      </w:hyperlink>
    </w:p>
    <w:p w14:paraId="3B901C13" w14:textId="46CA50E9" w:rsidR="00646F05" w:rsidRDefault="00511EEB" w:rsidP="00646F05">
      <w:pPr>
        <w:pStyle w:val="EndnoteText"/>
        <w:rPr>
          <w:rFonts w:ascii="Arial" w:hAnsi="Arial" w:cs="Arial"/>
          <w:sz w:val="18"/>
          <w:szCs w:val="18"/>
        </w:rPr>
      </w:pPr>
      <w:hyperlink r:id="rId20" w:history="1">
        <w:r w:rsidR="00646F05" w:rsidRPr="00F672C6">
          <w:rPr>
            <w:rStyle w:val="Hyperlink"/>
            <w:rFonts w:ascii="Arial" w:hAnsi="Arial" w:cs="Arial"/>
            <w:sz w:val="18"/>
            <w:szCs w:val="18"/>
          </w:rPr>
          <w:t>https://bioone.org/journals/journal-of-wildlife-diseases/volume-57/issue-2/2019-08-202/THE-PULMONARY-AND-METABOLIC-EFFECTS-OF-SUSPENSION-BY-THE-FEET/10.7589/2019-08-202.short</w:t>
        </w:r>
      </w:hyperlink>
    </w:p>
    <w:p w14:paraId="4E60701F" w14:textId="5D0FC344" w:rsidR="00646F05" w:rsidRPr="00933C01" w:rsidRDefault="00646F05" w:rsidP="00646F05">
      <w:pPr>
        <w:rPr>
          <w:rStyle w:val="Hyperlink"/>
          <w:rFonts w:ascii="Arial" w:hAnsi="Arial" w:cs="Arial"/>
          <w:color w:val="auto"/>
          <w:sz w:val="18"/>
          <w:szCs w:val="18"/>
          <w:u w:val="none"/>
        </w:rPr>
      </w:pPr>
      <w:r w:rsidRPr="00646F05">
        <w:rPr>
          <w:rStyle w:val="Hyperlink"/>
          <w:rFonts w:ascii="Arial" w:hAnsi="Arial" w:cs="Arial"/>
          <w:sz w:val="18"/>
          <w:szCs w:val="18"/>
        </w:rPr>
        <w:t>https://www.brainyquote.com/quotes/isaac_asimov_109758</w:t>
      </w:r>
    </w:p>
    <w:p w14:paraId="66C2295B" w14:textId="77777777" w:rsidR="00441CE6" w:rsidRPr="0056229A" w:rsidRDefault="00441CE6" w:rsidP="00646F05">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28673D32"/>
    <w:multiLevelType w:val="hybridMultilevel"/>
    <w:tmpl w:val="ED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26115"/>
    <w:multiLevelType w:val="hybridMultilevel"/>
    <w:tmpl w:val="3A74E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0C0D5D"/>
    <w:multiLevelType w:val="hybridMultilevel"/>
    <w:tmpl w:val="873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F3A65"/>
    <w:multiLevelType w:val="hybridMultilevel"/>
    <w:tmpl w:val="DE6A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33DC4"/>
    <w:multiLevelType w:val="hybridMultilevel"/>
    <w:tmpl w:val="AA32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E675B"/>
    <w:multiLevelType w:val="hybridMultilevel"/>
    <w:tmpl w:val="9EBAD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0135D"/>
    <w:multiLevelType w:val="hybridMultilevel"/>
    <w:tmpl w:val="EA46420A"/>
    <w:lvl w:ilvl="0" w:tplc="B5DA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9"/>
  </w:num>
  <w:num w:numId="5">
    <w:abstractNumId w:val="20"/>
  </w:num>
  <w:num w:numId="6">
    <w:abstractNumId w:val="12"/>
  </w:num>
  <w:num w:numId="7">
    <w:abstractNumId w:val="9"/>
  </w:num>
  <w:num w:numId="8">
    <w:abstractNumId w:val="14"/>
  </w:num>
  <w:num w:numId="9">
    <w:abstractNumId w:val="5"/>
  </w:num>
  <w:num w:numId="10">
    <w:abstractNumId w:val="6"/>
  </w:num>
  <w:num w:numId="11">
    <w:abstractNumId w:val="30"/>
  </w:num>
  <w:num w:numId="12">
    <w:abstractNumId w:val="27"/>
  </w:num>
  <w:num w:numId="13">
    <w:abstractNumId w:val="7"/>
  </w:num>
  <w:num w:numId="14">
    <w:abstractNumId w:val="26"/>
  </w:num>
  <w:num w:numId="15">
    <w:abstractNumId w:val="31"/>
  </w:num>
  <w:num w:numId="16">
    <w:abstractNumId w:val="22"/>
  </w:num>
  <w:num w:numId="17">
    <w:abstractNumId w:val="15"/>
  </w:num>
  <w:num w:numId="18">
    <w:abstractNumId w:val="0"/>
  </w:num>
  <w:num w:numId="19">
    <w:abstractNumId w:val="8"/>
  </w:num>
  <w:num w:numId="20">
    <w:abstractNumId w:val="29"/>
  </w:num>
  <w:num w:numId="21">
    <w:abstractNumId w:val="11"/>
  </w:num>
  <w:num w:numId="22">
    <w:abstractNumId w:val="3"/>
  </w:num>
  <w:num w:numId="23">
    <w:abstractNumId w:val="24"/>
  </w:num>
  <w:num w:numId="24">
    <w:abstractNumId w:val="18"/>
  </w:num>
  <w:num w:numId="25">
    <w:abstractNumId w:val="23"/>
  </w:num>
  <w:num w:numId="26">
    <w:abstractNumId w:val="21"/>
  </w:num>
  <w:num w:numId="27">
    <w:abstractNumId w:val="25"/>
  </w:num>
  <w:num w:numId="28">
    <w:abstractNumId w:val="28"/>
  </w:num>
  <w:num w:numId="29">
    <w:abstractNumId w:val="10"/>
  </w:num>
  <w:num w:numId="30">
    <w:abstractNumId w:val="17"/>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14AC"/>
    <w:rsid w:val="00076A1B"/>
    <w:rsid w:val="000823C5"/>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452"/>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1EEB"/>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229A"/>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D67C2"/>
    <w:rsid w:val="005E33CC"/>
    <w:rsid w:val="005E58E1"/>
    <w:rsid w:val="005F0271"/>
    <w:rsid w:val="00607EEF"/>
    <w:rsid w:val="00610EDB"/>
    <w:rsid w:val="006125EE"/>
    <w:rsid w:val="006142D8"/>
    <w:rsid w:val="00617D6F"/>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5726C"/>
    <w:rsid w:val="007611DA"/>
    <w:rsid w:val="00762657"/>
    <w:rsid w:val="00764D1F"/>
    <w:rsid w:val="007658A4"/>
    <w:rsid w:val="0076643C"/>
    <w:rsid w:val="00770A51"/>
    <w:rsid w:val="00771865"/>
    <w:rsid w:val="007729DC"/>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2B9E"/>
    <w:rsid w:val="00857CAC"/>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3F22"/>
    <w:rsid w:val="008A7CD8"/>
    <w:rsid w:val="008B073A"/>
    <w:rsid w:val="008B3B2C"/>
    <w:rsid w:val="008B3E93"/>
    <w:rsid w:val="008B45AD"/>
    <w:rsid w:val="008B61AE"/>
    <w:rsid w:val="008C06EB"/>
    <w:rsid w:val="008C4339"/>
    <w:rsid w:val="008C6053"/>
    <w:rsid w:val="008D081C"/>
    <w:rsid w:val="008D1548"/>
    <w:rsid w:val="008D212A"/>
    <w:rsid w:val="008E1473"/>
    <w:rsid w:val="008F221D"/>
    <w:rsid w:val="008F2BC5"/>
    <w:rsid w:val="008F457E"/>
    <w:rsid w:val="00902484"/>
    <w:rsid w:val="009056AC"/>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CF6FF0"/>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20DC"/>
    <w:rsid w:val="00E23B8D"/>
    <w:rsid w:val="00E31B35"/>
    <w:rsid w:val="00E335CF"/>
    <w:rsid w:val="00E41364"/>
    <w:rsid w:val="00E43A0A"/>
    <w:rsid w:val="00E53F24"/>
    <w:rsid w:val="00E54870"/>
    <w:rsid w:val="00E60283"/>
    <w:rsid w:val="00E642E3"/>
    <w:rsid w:val="00E64D97"/>
    <w:rsid w:val="00E66F78"/>
    <w:rsid w:val="00E83894"/>
    <w:rsid w:val="00E83BCB"/>
    <w:rsid w:val="00E85465"/>
    <w:rsid w:val="00E85C67"/>
    <w:rsid w:val="00E90FCC"/>
    <w:rsid w:val="00E91F0E"/>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F1E5E"/>
    <w:rsid w:val="00F02A51"/>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511EE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41957287">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ios.com/airlines-covid-ticket-sales-projections-43bac1f0-3bfa-43b0-b06f-01aeb2afecf1.html" TargetMode="External"/><Relationship Id="rId13" Type="http://schemas.openxmlformats.org/officeDocument/2006/relationships/hyperlink" Target="https://resources.carsongroup.com/hubfs/WMC-Source/2021/09_13_21_Barrons_A%20Stock%20Market%20Selloff%20Needs%20a%20Trigger_6.pdf" TargetMode="External"/><Relationship Id="rId18" Type="http://schemas.openxmlformats.org/officeDocument/2006/relationships/hyperlink" Target="https://www.nature.com/articles/s41598-020-739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arrons.com/articles/heres-an-inconvenient-truth-the-growth-slowdown-goes-beyond-the-delta-variant-51631307629?mod=hp_columnists" TargetMode="External"/><Relationship Id="rId12" Type="http://schemas.openxmlformats.org/officeDocument/2006/relationships/hyperlink" Target="https://www.barrons.com/articles/stock-market-selloffs-need-a-trigger-heres-what-could-cause-the-next-one-51631322248?refsec=the-trader" TargetMode="External"/><Relationship Id="rId17" Type="http://schemas.openxmlformats.org/officeDocument/2006/relationships/hyperlink" Target="https://www.improbable.com" TargetMode="External"/><Relationship Id="rId2" Type="http://schemas.openxmlformats.org/officeDocument/2006/relationships/styles" Target="styles.xml"/><Relationship Id="rId16" Type="http://schemas.openxmlformats.org/officeDocument/2006/relationships/hyperlink" Target="https://www.diva-portal.org/smash/get/diva2:539090/FULLTEXT01.pdf" TargetMode="External"/><Relationship Id="rId20" Type="http://schemas.openxmlformats.org/officeDocument/2006/relationships/hyperlink" Target="https://bioone.org/journals/journal-of-wildlife-diseases/volume-57/issue-2/2019-08-202/THE-PULMONARY-AND-METABOLIC-EFFECTS-OF-SUSPENSION-BY-THE-FEET/10.7589/2019-08-202.short" TargetMode="External"/><Relationship Id="rId1" Type="http://schemas.openxmlformats.org/officeDocument/2006/relationships/numbering" Target="numbering.xml"/><Relationship Id="rId6" Type="http://schemas.openxmlformats.org/officeDocument/2006/relationships/hyperlink" Target="https://resources.carsongroup.com/hubfs/WMC-Source/2021/09-13-21_Washington%20Post_Denmark%20lifts%20all%20coronavirus%20restrictions_1.pdf" TargetMode="External"/><Relationship Id="rId11" Type="http://schemas.openxmlformats.org/officeDocument/2006/relationships/hyperlink" Target="https://www.factset.com/hubfs/Website/Resources%20Section/Research%20Desk/Earnings%20Insight/EarningsInsight_091021.pdf" TargetMode="External"/><Relationship Id="rId5" Type="http://schemas.openxmlformats.org/officeDocument/2006/relationships/hyperlink" Target="https://www.cdc.gov/coronavirus/2019-ncov/covid-data/covidview/index.html" TargetMode="External"/><Relationship Id="rId15" Type="http://schemas.openxmlformats.org/officeDocument/2006/relationships/hyperlink" Target="https://www.improbable.com/2021-ceremony/ig-nobel-prizes/" TargetMode="External"/><Relationship Id="rId10" Type="http://schemas.openxmlformats.org/officeDocument/2006/relationships/hyperlink" Target="https://www.axios.com/ppg-industries-supply-chain-earnings-disruption-7263631e-1a34-4745-8fe5-0538fcc1b771.html" TargetMode="External"/><Relationship Id="rId19" Type="http://schemas.openxmlformats.org/officeDocument/2006/relationships/hyperlink" Target="https://journals.plos.org/plosone/article?id=10.1371/journal.pone.0203044" TargetMode="External"/><Relationship Id="rId4" Type="http://schemas.openxmlformats.org/officeDocument/2006/relationships/webSettings" Target="webSettings.xml"/><Relationship Id="rId9" Type="http://schemas.openxmlformats.org/officeDocument/2006/relationships/hyperlink" Target="https://resources.carsongroup.com/hubfs/WMC-Source/2021/09-13-21_Barrons_Heres%20an%20Inconvenient%20Truth_3.pdf" TargetMode="External"/><Relationship Id="rId14" Type="http://schemas.openxmlformats.org/officeDocument/2006/relationships/hyperlink" Target="https://www.treasury.gov/resource-center/data-chart-center/interest-rates/Pages/TextView.aspx?data=yie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2021-09-13T16:23:00Z</dcterms:created>
  <dcterms:modified xsi:type="dcterms:W3CDTF">2021-09-13T16:23:00Z</dcterms:modified>
</cp:coreProperties>
</file>