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25082" w:rsidRDefault="00EC6B27" w:rsidP="00525082">
      <w:pPr>
        <w:ind w:right="-36"/>
        <w:jc w:val="center"/>
        <w:rPr>
          <w:b/>
          <w:bCs/>
          <w:color w:val="000000" w:themeColor="text1"/>
          <w:sz w:val="32"/>
          <w:szCs w:val="32"/>
        </w:rPr>
      </w:pPr>
      <w:bookmarkStart w:id="0" w:name="_GoBack"/>
      <w:bookmarkEnd w:id="0"/>
      <w:r w:rsidRPr="00525082">
        <w:rPr>
          <w:b/>
          <w:bCs/>
          <w:color w:val="000000" w:themeColor="text1"/>
          <w:sz w:val="32"/>
          <w:szCs w:val="32"/>
        </w:rPr>
        <w:t xml:space="preserve">Weekly </w:t>
      </w:r>
      <w:r w:rsidR="000F6D15" w:rsidRPr="00525082">
        <w:rPr>
          <w:b/>
          <w:bCs/>
          <w:color w:val="000000" w:themeColor="text1"/>
          <w:sz w:val="32"/>
          <w:szCs w:val="32"/>
        </w:rPr>
        <w:t>Market</w:t>
      </w:r>
      <w:r w:rsidR="005B7A1C" w:rsidRPr="00525082">
        <w:rPr>
          <w:b/>
          <w:bCs/>
          <w:color w:val="000000" w:themeColor="text1"/>
          <w:sz w:val="32"/>
          <w:szCs w:val="32"/>
        </w:rPr>
        <w:t xml:space="preserve"> </w:t>
      </w:r>
      <w:r w:rsidR="00827069" w:rsidRPr="00525082">
        <w:rPr>
          <w:b/>
          <w:bCs/>
          <w:color w:val="000000" w:themeColor="text1"/>
          <w:sz w:val="32"/>
          <w:szCs w:val="32"/>
        </w:rPr>
        <w:t>Commentary</w:t>
      </w:r>
    </w:p>
    <w:p w14:paraId="6890971C" w14:textId="548C7498" w:rsidR="00827069" w:rsidRPr="00525082" w:rsidRDefault="00255E86" w:rsidP="00525082">
      <w:pPr>
        <w:ind w:right="-36"/>
        <w:jc w:val="center"/>
        <w:rPr>
          <w:b/>
          <w:bCs/>
          <w:color w:val="000000" w:themeColor="text1"/>
          <w:sz w:val="32"/>
          <w:szCs w:val="32"/>
        </w:rPr>
      </w:pPr>
      <w:r w:rsidRPr="00525082">
        <w:rPr>
          <w:b/>
          <w:bCs/>
          <w:color w:val="000000" w:themeColor="text1"/>
          <w:sz w:val="32"/>
          <w:szCs w:val="32"/>
        </w:rPr>
        <w:t>Ju</w:t>
      </w:r>
      <w:r w:rsidR="00A93254" w:rsidRPr="00525082">
        <w:rPr>
          <w:b/>
          <w:bCs/>
          <w:color w:val="000000" w:themeColor="text1"/>
          <w:sz w:val="32"/>
          <w:szCs w:val="32"/>
        </w:rPr>
        <w:t xml:space="preserve">ly </w:t>
      </w:r>
      <w:r w:rsidR="00CC554A" w:rsidRPr="00525082">
        <w:rPr>
          <w:b/>
          <w:bCs/>
          <w:color w:val="000000" w:themeColor="text1"/>
          <w:sz w:val="32"/>
          <w:szCs w:val="32"/>
        </w:rPr>
        <w:t>13</w:t>
      </w:r>
      <w:r w:rsidR="00ED6866" w:rsidRPr="00525082">
        <w:rPr>
          <w:b/>
          <w:bCs/>
          <w:color w:val="000000" w:themeColor="text1"/>
          <w:sz w:val="32"/>
          <w:szCs w:val="32"/>
        </w:rPr>
        <w:t>, 2020</w:t>
      </w:r>
    </w:p>
    <w:p w14:paraId="0E020AD4" w14:textId="3BB2E5E7" w:rsidR="00893C7B" w:rsidRPr="00525082" w:rsidRDefault="00893C7B" w:rsidP="00525082">
      <w:pPr>
        <w:ind w:right="-36"/>
        <w:rPr>
          <w:color w:val="000000" w:themeColor="text1"/>
        </w:rPr>
      </w:pPr>
    </w:p>
    <w:p w14:paraId="27256876" w14:textId="77777777" w:rsidR="001B14AB" w:rsidRPr="00525082" w:rsidRDefault="001B14AB" w:rsidP="00525082">
      <w:pPr>
        <w:ind w:right="-36"/>
        <w:rPr>
          <w:b/>
          <w:bCs/>
          <w:color w:val="000000" w:themeColor="text1"/>
          <w:sz w:val="28"/>
          <w:szCs w:val="28"/>
        </w:rPr>
      </w:pPr>
      <w:r w:rsidRPr="00525082">
        <w:rPr>
          <w:b/>
          <w:bCs/>
          <w:color w:val="000000" w:themeColor="text1"/>
          <w:sz w:val="28"/>
          <w:szCs w:val="28"/>
        </w:rPr>
        <w:t>The Markets</w:t>
      </w:r>
      <w:r w:rsidRPr="00525082">
        <w:rPr>
          <w:bCs/>
          <w:color w:val="000000" w:themeColor="text1"/>
        </w:rPr>
        <w:t xml:space="preserve"> </w:t>
      </w:r>
    </w:p>
    <w:p w14:paraId="48DEAA6A" w14:textId="77777777" w:rsidR="00B074EF" w:rsidRPr="00525082" w:rsidRDefault="00B074EF" w:rsidP="00525082">
      <w:pPr>
        <w:ind w:right="-36"/>
        <w:rPr>
          <w:color w:val="000000" w:themeColor="text1"/>
        </w:rPr>
      </w:pPr>
    </w:p>
    <w:p w14:paraId="2ED0001D" w14:textId="614ED6C3" w:rsidR="00107C6E" w:rsidRPr="00525082" w:rsidRDefault="00107C6E" w:rsidP="00525082">
      <w:pPr>
        <w:ind w:right="-36"/>
        <w:rPr>
          <w:color w:val="000000" w:themeColor="text1"/>
        </w:rPr>
      </w:pPr>
      <w:r w:rsidRPr="00525082">
        <w:rPr>
          <w:color w:val="000000" w:themeColor="text1"/>
        </w:rPr>
        <w:t xml:space="preserve">Please </w:t>
      </w:r>
      <w:r w:rsidRPr="00525082">
        <w:rPr>
          <w:i/>
          <w:iCs/>
          <w:color w:val="000000" w:themeColor="text1"/>
        </w:rPr>
        <w:t>don’t</w:t>
      </w:r>
      <w:r w:rsidRPr="00525082">
        <w:rPr>
          <w:color w:val="000000" w:themeColor="text1"/>
        </w:rPr>
        <w:t xml:space="preserve"> scream inside your heart.</w:t>
      </w:r>
    </w:p>
    <w:p w14:paraId="2891E476" w14:textId="7FF652BD" w:rsidR="00107C6E" w:rsidRPr="00525082" w:rsidRDefault="00107C6E" w:rsidP="00525082">
      <w:pPr>
        <w:ind w:right="-36"/>
        <w:rPr>
          <w:color w:val="000000" w:themeColor="text1"/>
        </w:rPr>
      </w:pPr>
    </w:p>
    <w:p w14:paraId="27D10EA1" w14:textId="19367D4D" w:rsidR="00107C6E" w:rsidRPr="00525082" w:rsidRDefault="00107C6E" w:rsidP="00525082">
      <w:pPr>
        <w:ind w:right="-36"/>
        <w:rPr>
          <w:color w:val="000000" w:themeColor="text1"/>
        </w:rPr>
      </w:pPr>
      <w:r w:rsidRPr="00525082">
        <w:rPr>
          <w:color w:val="000000" w:themeColor="text1"/>
        </w:rPr>
        <w:t xml:space="preserve">Last week, a reopened Japanese theme park asked patrons to wear masks to </w:t>
      </w:r>
      <w:r w:rsidR="000F066E" w:rsidRPr="00525082">
        <w:rPr>
          <w:color w:val="000000" w:themeColor="text1"/>
        </w:rPr>
        <w:t>help reduce the spread of coronavirus. It also asked</w:t>
      </w:r>
      <w:r w:rsidRPr="00525082">
        <w:rPr>
          <w:color w:val="000000" w:themeColor="text1"/>
        </w:rPr>
        <w:t xml:space="preserve"> </w:t>
      </w:r>
      <w:r w:rsidR="00C5474F" w:rsidRPr="00525082">
        <w:rPr>
          <w:color w:val="000000" w:themeColor="text1"/>
        </w:rPr>
        <w:t>the</w:t>
      </w:r>
      <w:r w:rsidR="006952CB" w:rsidRPr="00525082">
        <w:rPr>
          <w:color w:val="000000" w:themeColor="text1"/>
        </w:rPr>
        <w:t>m</w:t>
      </w:r>
      <w:r w:rsidR="000F066E" w:rsidRPr="00525082">
        <w:rPr>
          <w:color w:val="000000" w:themeColor="text1"/>
        </w:rPr>
        <w:t xml:space="preserve"> </w:t>
      </w:r>
      <w:r w:rsidR="00C5474F" w:rsidRPr="00525082">
        <w:rPr>
          <w:color w:val="000000" w:themeColor="text1"/>
        </w:rPr>
        <w:t xml:space="preserve">not </w:t>
      </w:r>
      <w:r w:rsidR="006952CB" w:rsidRPr="00525082">
        <w:rPr>
          <w:color w:val="000000" w:themeColor="text1"/>
        </w:rPr>
        <w:t xml:space="preserve">to </w:t>
      </w:r>
      <w:r w:rsidR="000F066E" w:rsidRPr="00525082">
        <w:rPr>
          <w:color w:val="000000" w:themeColor="text1"/>
        </w:rPr>
        <w:t>scream</w:t>
      </w:r>
      <w:r w:rsidRPr="00525082">
        <w:rPr>
          <w:color w:val="000000" w:themeColor="text1"/>
        </w:rPr>
        <w:t xml:space="preserve"> while riding the rollercoaster. </w:t>
      </w:r>
      <w:r w:rsidR="006952CB" w:rsidRPr="00525082">
        <w:rPr>
          <w:color w:val="000000" w:themeColor="text1"/>
        </w:rPr>
        <w:t>“</w:t>
      </w:r>
      <w:r w:rsidR="00B46072" w:rsidRPr="00525082">
        <w:rPr>
          <w:color w:val="000000" w:themeColor="text1"/>
        </w:rPr>
        <w:t>Please</w:t>
      </w:r>
      <w:r w:rsidR="00C5474F" w:rsidRPr="00525082">
        <w:rPr>
          <w:color w:val="000000" w:themeColor="text1"/>
        </w:rPr>
        <w:t xml:space="preserve"> </w:t>
      </w:r>
      <w:r w:rsidR="00F878F6" w:rsidRPr="00525082">
        <w:rPr>
          <w:color w:val="000000" w:themeColor="text1"/>
        </w:rPr>
        <w:t xml:space="preserve">scream inside </w:t>
      </w:r>
      <w:r w:rsidR="00C5474F" w:rsidRPr="00525082">
        <w:rPr>
          <w:color w:val="000000" w:themeColor="text1"/>
        </w:rPr>
        <w:t>your</w:t>
      </w:r>
      <w:r w:rsidR="00F878F6" w:rsidRPr="00525082">
        <w:rPr>
          <w:color w:val="000000" w:themeColor="text1"/>
        </w:rPr>
        <w:t xml:space="preserve"> heart</w:t>
      </w:r>
      <w:r w:rsidR="00C5474F" w:rsidRPr="00525082">
        <w:rPr>
          <w:color w:val="000000" w:themeColor="text1"/>
        </w:rPr>
        <w:t>,</w:t>
      </w:r>
      <w:r w:rsidR="006952CB" w:rsidRPr="00525082">
        <w:rPr>
          <w:color w:val="000000" w:themeColor="text1"/>
        </w:rPr>
        <w:t>”</w:t>
      </w:r>
      <w:r w:rsidR="00C5474F" w:rsidRPr="00525082">
        <w:rPr>
          <w:color w:val="000000" w:themeColor="text1"/>
        </w:rPr>
        <w:t xml:space="preserve"> park </w:t>
      </w:r>
      <w:r w:rsidR="006952CB" w:rsidRPr="00525082">
        <w:rPr>
          <w:color w:val="000000" w:themeColor="text1"/>
        </w:rPr>
        <w:t>management</w:t>
      </w:r>
      <w:r w:rsidR="00C5474F" w:rsidRPr="00525082">
        <w:rPr>
          <w:color w:val="000000" w:themeColor="text1"/>
        </w:rPr>
        <w:t xml:space="preserve"> </w:t>
      </w:r>
      <w:r w:rsidR="00B46072" w:rsidRPr="00525082">
        <w:rPr>
          <w:color w:val="000000" w:themeColor="text1"/>
        </w:rPr>
        <w:t>urged</w:t>
      </w:r>
      <w:r w:rsidR="000F066E" w:rsidRPr="00525082">
        <w:rPr>
          <w:color w:val="000000" w:themeColor="text1"/>
        </w:rPr>
        <w:t>.</w:t>
      </w:r>
    </w:p>
    <w:p w14:paraId="70BC1161" w14:textId="77777777" w:rsidR="00107C6E" w:rsidRPr="00525082" w:rsidRDefault="00107C6E" w:rsidP="00525082">
      <w:pPr>
        <w:ind w:right="-36"/>
        <w:rPr>
          <w:color w:val="000000" w:themeColor="text1"/>
        </w:rPr>
      </w:pPr>
    </w:p>
    <w:p w14:paraId="4CE2D150" w14:textId="595268F8" w:rsidR="00F878F6" w:rsidRPr="00525082" w:rsidRDefault="00C12ECD" w:rsidP="00525082">
      <w:pPr>
        <w:ind w:right="-36"/>
        <w:rPr>
          <w:color w:val="000000" w:themeColor="text1"/>
        </w:rPr>
      </w:pPr>
      <w:r w:rsidRPr="00525082">
        <w:rPr>
          <w:color w:val="000000" w:themeColor="text1"/>
        </w:rPr>
        <w:t xml:space="preserve">During 2020, </w:t>
      </w:r>
      <w:r w:rsidR="00107C6E" w:rsidRPr="00525082">
        <w:rPr>
          <w:color w:val="000000" w:themeColor="text1"/>
        </w:rPr>
        <w:t>stock market</w:t>
      </w:r>
      <w:r w:rsidR="00550B75" w:rsidRPr="00525082">
        <w:rPr>
          <w:color w:val="000000" w:themeColor="text1"/>
        </w:rPr>
        <w:t>s</w:t>
      </w:r>
      <w:r w:rsidRPr="00525082">
        <w:rPr>
          <w:color w:val="000000" w:themeColor="text1"/>
        </w:rPr>
        <w:t xml:space="preserve"> </w:t>
      </w:r>
      <w:r w:rsidR="00EE10BB" w:rsidRPr="00525082">
        <w:rPr>
          <w:color w:val="000000" w:themeColor="text1"/>
        </w:rPr>
        <w:t xml:space="preserve">in the United States </w:t>
      </w:r>
      <w:r w:rsidR="006952CB" w:rsidRPr="00525082">
        <w:rPr>
          <w:color w:val="000000" w:themeColor="text1"/>
        </w:rPr>
        <w:t xml:space="preserve">have </w:t>
      </w:r>
      <w:r w:rsidR="00AD62AA" w:rsidRPr="00525082">
        <w:rPr>
          <w:color w:val="000000" w:themeColor="text1"/>
        </w:rPr>
        <w:t>taken investors on an emotional rollercoaster ride</w:t>
      </w:r>
      <w:r w:rsidR="00F878F6" w:rsidRPr="00525082">
        <w:rPr>
          <w:color w:val="000000" w:themeColor="text1"/>
        </w:rPr>
        <w:t xml:space="preserve">. </w:t>
      </w:r>
      <w:r w:rsidR="00AD62AA" w:rsidRPr="00525082">
        <w:rPr>
          <w:color w:val="000000" w:themeColor="text1"/>
        </w:rPr>
        <w:t>B</w:t>
      </w:r>
      <w:r w:rsidR="00EE10BB" w:rsidRPr="00525082">
        <w:rPr>
          <w:color w:val="000000" w:themeColor="text1"/>
        </w:rPr>
        <w:t>y</w:t>
      </w:r>
      <w:r w:rsidR="00F878F6" w:rsidRPr="00525082">
        <w:rPr>
          <w:color w:val="000000" w:themeColor="text1"/>
        </w:rPr>
        <w:t xml:space="preserve"> late March, the </w:t>
      </w:r>
      <w:r w:rsidR="009B79D7" w:rsidRPr="00525082">
        <w:rPr>
          <w:color w:val="000000" w:themeColor="text1"/>
        </w:rPr>
        <w:t xml:space="preserve">Standard &amp; Poor’s 500 Index </w:t>
      </w:r>
      <w:r w:rsidR="00AD62AA" w:rsidRPr="00525082">
        <w:rPr>
          <w:color w:val="000000" w:themeColor="text1"/>
        </w:rPr>
        <w:t>had lost</w:t>
      </w:r>
      <w:r w:rsidR="00F878F6" w:rsidRPr="00525082">
        <w:rPr>
          <w:color w:val="000000" w:themeColor="text1"/>
        </w:rPr>
        <w:t xml:space="preserve"> more than 30 percent. </w:t>
      </w:r>
      <w:r w:rsidR="006952CB" w:rsidRPr="00525082">
        <w:rPr>
          <w:color w:val="000000" w:themeColor="text1"/>
        </w:rPr>
        <w:t>The Index</w:t>
      </w:r>
      <w:r w:rsidR="00F878F6" w:rsidRPr="00525082">
        <w:rPr>
          <w:color w:val="000000" w:themeColor="text1"/>
        </w:rPr>
        <w:t xml:space="preserve"> </w:t>
      </w:r>
      <w:r w:rsidR="00296177" w:rsidRPr="00525082">
        <w:rPr>
          <w:color w:val="000000" w:themeColor="text1"/>
        </w:rPr>
        <w:t xml:space="preserve">has </w:t>
      </w:r>
      <w:r w:rsidR="00EE10BB" w:rsidRPr="00525082">
        <w:rPr>
          <w:color w:val="000000" w:themeColor="text1"/>
        </w:rPr>
        <w:t xml:space="preserve">since </w:t>
      </w:r>
      <w:r w:rsidR="006952CB" w:rsidRPr="00525082">
        <w:rPr>
          <w:color w:val="000000" w:themeColor="text1"/>
        </w:rPr>
        <w:t>re</w:t>
      </w:r>
      <w:r w:rsidR="00AD62AA" w:rsidRPr="00525082">
        <w:rPr>
          <w:color w:val="000000" w:themeColor="text1"/>
        </w:rPr>
        <w:t xml:space="preserve">gained </w:t>
      </w:r>
      <w:r w:rsidR="006952CB" w:rsidRPr="00525082">
        <w:rPr>
          <w:color w:val="000000" w:themeColor="text1"/>
        </w:rPr>
        <w:t>most of those losses,</w:t>
      </w:r>
      <w:r w:rsidR="00F878F6" w:rsidRPr="00525082">
        <w:rPr>
          <w:color w:val="000000" w:themeColor="text1"/>
        </w:rPr>
        <w:t xml:space="preserve"> </w:t>
      </w:r>
      <w:r w:rsidR="006952CB" w:rsidRPr="00525082">
        <w:rPr>
          <w:color w:val="000000" w:themeColor="text1"/>
        </w:rPr>
        <w:t xml:space="preserve">although </w:t>
      </w:r>
      <w:r w:rsidR="00F878F6" w:rsidRPr="00525082">
        <w:rPr>
          <w:color w:val="000000" w:themeColor="text1"/>
        </w:rPr>
        <w:t xml:space="preserve">there have been </w:t>
      </w:r>
      <w:r w:rsidR="006952CB" w:rsidRPr="00525082">
        <w:rPr>
          <w:color w:val="000000" w:themeColor="text1"/>
        </w:rPr>
        <w:t>many</w:t>
      </w:r>
      <w:r w:rsidR="00F878F6" w:rsidRPr="00525082">
        <w:rPr>
          <w:color w:val="000000" w:themeColor="text1"/>
        </w:rPr>
        <w:t xml:space="preserve"> ups and downs</w:t>
      </w:r>
      <w:r w:rsidR="006952CB" w:rsidRPr="00525082">
        <w:rPr>
          <w:color w:val="000000" w:themeColor="text1"/>
        </w:rPr>
        <w:t xml:space="preserve"> along the way</w:t>
      </w:r>
      <w:r w:rsidR="00F878F6" w:rsidRPr="00525082">
        <w:rPr>
          <w:color w:val="000000" w:themeColor="text1"/>
        </w:rPr>
        <w:t>.</w:t>
      </w:r>
    </w:p>
    <w:p w14:paraId="5A6A184D" w14:textId="33332182" w:rsidR="00C5474F" w:rsidRPr="00525082" w:rsidRDefault="00C5474F" w:rsidP="00525082">
      <w:pPr>
        <w:ind w:right="-36"/>
        <w:rPr>
          <w:color w:val="000000" w:themeColor="text1"/>
        </w:rPr>
      </w:pPr>
    </w:p>
    <w:p w14:paraId="02C0A712" w14:textId="4E2B4BC4" w:rsidR="00296177" w:rsidRPr="00525082" w:rsidRDefault="00296177" w:rsidP="00525082">
      <w:pPr>
        <w:ind w:right="-36"/>
        <w:rPr>
          <w:color w:val="000000" w:themeColor="text1"/>
        </w:rPr>
      </w:pPr>
      <w:r w:rsidRPr="00525082">
        <w:rPr>
          <w:color w:val="000000" w:themeColor="text1"/>
        </w:rPr>
        <w:t>The culprits behind market volatility have been fear and uncertainty</w:t>
      </w:r>
      <w:r w:rsidR="00AD62AA" w:rsidRPr="00525082">
        <w:rPr>
          <w:color w:val="000000" w:themeColor="text1"/>
        </w:rPr>
        <w:t>, often</w:t>
      </w:r>
      <w:r w:rsidRPr="00525082">
        <w:rPr>
          <w:color w:val="000000" w:themeColor="text1"/>
        </w:rPr>
        <w:t xml:space="preserve"> inspired by </w:t>
      </w:r>
      <w:r w:rsidR="00AD62AA" w:rsidRPr="00525082">
        <w:rPr>
          <w:color w:val="000000" w:themeColor="text1"/>
        </w:rPr>
        <w:t xml:space="preserve">twists and turns in the </w:t>
      </w:r>
      <w:r w:rsidRPr="00525082">
        <w:rPr>
          <w:color w:val="000000" w:themeColor="text1"/>
        </w:rPr>
        <w:t>coronavirus</w:t>
      </w:r>
      <w:r w:rsidR="00AD62AA" w:rsidRPr="00525082">
        <w:rPr>
          <w:color w:val="000000" w:themeColor="text1"/>
        </w:rPr>
        <w:t xml:space="preserve"> saga</w:t>
      </w:r>
      <w:r w:rsidRPr="00525082">
        <w:rPr>
          <w:color w:val="000000" w:themeColor="text1"/>
        </w:rPr>
        <w:t xml:space="preserve">. </w:t>
      </w:r>
      <w:r w:rsidR="006952CB" w:rsidRPr="00525082">
        <w:rPr>
          <w:color w:val="000000" w:themeColor="text1"/>
        </w:rPr>
        <w:t>L</w:t>
      </w:r>
      <w:r w:rsidR="00AD62AA" w:rsidRPr="00525082">
        <w:rPr>
          <w:color w:val="000000" w:themeColor="text1"/>
        </w:rPr>
        <w:t xml:space="preserve">ast week, </w:t>
      </w:r>
      <w:r w:rsidR="006952CB" w:rsidRPr="00525082">
        <w:rPr>
          <w:color w:val="000000" w:themeColor="text1"/>
        </w:rPr>
        <w:t>as</w:t>
      </w:r>
      <w:r w:rsidR="00AD62AA" w:rsidRPr="00525082">
        <w:rPr>
          <w:color w:val="000000" w:themeColor="text1"/>
        </w:rPr>
        <w:t xml:space="preserve"> </w:t>
      </w:r>
      <w:r w:rsidR="006952CB" w:rsidRPr="00525082">
        <w:rPr>
          <w:color w:val="000000" w:themeColor="text1"/>
        </w:rPr>
        <w:t xml:space="preserve">stocks faltered and </w:t>
      </w:r>
      <w:r w:rsidR="00AD62AA" w:rsidRPr="00525082">
        <w:rPr>
          <w:color w:val="000000" w:themeColor="text1"/>
        </w:rPr>
        <w:t xml:space="preserve">demand for U.S. government bonds surged, Eric Platt and Colby Smith of </w:t>
      </w:r>
      <w:r w:rsidR="00AD62AA" w:rsidRPr="00525082">
        <w:rPr>
          <w:i/>
          <w:iCs/>
          <w:color w:val="000000" w:themeColor="text1"/>
        </w:rPr>
        <w:t>Financial Times</w:t>
      </w:r>
      <w:r w:rsidR="00AD62AA" w:rsidRPr="00525082">
        <w:rPr>
          <w:color w:val="000000" w:themeColor="text1"/>
        </w:rPr>
        <w:t xml:space="preserve"> reported</w:t>
      </w:r>
      <w:r w:rsidR="001C70DB">
        <w:rPr>
          <w:color w:val="000000" w:themeColor="text1"/>
        </w:rPr>
        <w:t>:</w:t>
      </w:r>
    </w:p>
    <w:p w14:paraId="3663179C" w14:textId="77777777" w:rsidR="00296177" w:rsidRPr="00525082" w:rsidRDefault="00296177" w:rsidP="00525082">
      <w:pPr>
        <w:ind w:right="-36"/>
        <w:rPr>
          <w:color w:val="000000" w:themeColor="text1"/>
        </w:rPr>
      </w:pPr>
    </w:p>
    <w:p w14:paraId="4D788037" w14:textId="72FFE77A" w:rsidR="00296177" w:rsidRPr="00525082" w:rsidRDefault="00296177" w:rsidP="001C70DB">
      <w:pPr>
        <w:ind w:left="720" w:right="684"/>
        <w:rPr>
          <w:color w:val="000000" w:themeColor="text1"/>
        </w:rPr>
      </w:pPr>
      <w:r w:rsidRPr="00525082">
        <w:rPr>
          <w:color w:val="000000" w:themeColor="text1"/>
        </w:rPr>
        <w:t>“</w:t>
      </w:r>
      <w:r w:rsidR="00AD62AA" w:rsidRPr="00525082">
        <w:rPr>
          <w:color w:val="000000" w:themeColor="text1"/>
        </w:rPr>
        <w:t xml:space="preserve">The strong demand for </w:t>
      </w:r>
      <w:r w:rsidR="006952CB" w:rsidRPr="00525082">
        <w:rPr>
          <w:color w:val="000000" w:themeColor="text1"/>
        </w:rPr>
        <w:t xml:space="preserve">[safe] </w:t>
      </w:r>
      <w:r w:rsidR="00AD62AA" w:rsidRPr="00525082">
        <w:rPr>
          <w:color w:val="000000" w:themeColor="text1"/>
        </w:rPr>
        <w:t>haven assets emerged after several U</w:t>
      </w:r>
      <w:r w:rsidR="001C70DB">
        <w:rPr>
          <w:color w:val="000000" w:themeColor="text1"/>
        </w:rPr>
        <w:t>.</w:t>
      </w:r>
      <w:r w:rsidR="00AD62AA" w:rsidRPr="00525082">
        <w:rPr>
          <w:color w:val="000000" w:themeColor="text1"/>
        </w:rPr>
        <w:t>S</w:t>
      </w:r>
      <w:r w:rsidR="001C70DB">
        <w:rPr>
          <w:color w:val="000000" w:themeColor="text1"/>
        </w:rPr>
        <w:t>.</w:t>
      </w:r>
      <w:r w:rsidR="00AD62AA" w:rsidRPr="00525082">
        <w:rPr>
          <w:color w:val="000000" w:themeColor="text1"/>
        </w:rPr>
        <w:t xml:space="preserve"> states reported further increases in coronavirus cases, after Florida on Thursday recorded its largest death toll since the crisis spread to the U</w:t>
      </w:r>
      <w:r w:rsidR="001C70DB">
        <w:rPr>
          <w:color w:val="000000" w:themeColor="text1"/>
        </w:rPr>
        <w:t>nited States</w:t>
      </w:r>
      <w:r w:rsidR="00AD62AA" w:rsidRPr="00525082">
        <w:rPr>
          <w:color w:val="000000" w:themeColor="text1"/>
        </w:rPr>
        <w:t>. Some succor was provided to nervous investors on Friday after [a pharmaceutical company] released data showing its potential coronavirus treatment…had reduced mortality rates in early trials. That provided a bump to stocks and tempered the gains in Treasuries.</w:t>
      </w:r>
      <w:r w:rsidRPr="00525082">
        <w:rPr>
          <w:color w:val="000000" w:themeColor="text1"/>
        </w:rPr>
        <w:t>”</w:t>
      </w:r>
    </w:p>
    <w:p w14:paraId="0730C98A" w14:textId="75B0773D" w:rsidR="00296177" w:rsidRPr="00525082" w:rsidRDefault="00296177" w:rsidP="00525082">
      <w:pPr>
        <w:ind w:right="-36"/>
        <w:rPr>
          <w:color w:val="000000" w:themeColor="text1"/>
        </w:rPr>
      </w:pPr>
    </w:p>
    <w:p w14:paraId="1DE51B1A" w14:textId="3DB4B348" w:rsidR="004E69D9" w:rsidRPr="00525082" w:rsidRDefault="00296177" w:rsidP="00525082">
      <w:pPr>
        <w:ind w:right="-36"/>
        <w:rPr>
          <w:color w:val="000000" w:themeColor="text1"/>
        </w:rPr>
      </w:pPr>
      <w:r w:rsidRPr="00525082">
        <w:rPr>
          <w:color w:val="000000" w:themeColor="text1"/>
        </w:rPr>
        <w:t xml:space="preserve">Volatile markets often </w:t>
      </w:r>
      <w:r w:rsidR="00D22454" w:rsidRPr="00525082">
        <w:rPr>
          <w:color w:val="000000" w:themeColor="text1"/>
        </w:rPr>
        <w:t>cause</w:t>
      </w:r>
      <w:r w:rsidRPr="00525082">
        <w:rPr>
          <w:color w:val="000000" w:themeColor="text1"/>
        </w:rPr>
        <w:t xml:space="preserve"> investors to </w:t>
      </w:r>
      <w:r w:rsidR="004D5792" w:rsidRPr="00525082">
        <w:rPr>
          <w:color w:val="000000" w:themeColor="text1"/>
        </w:rPr>
        <w:t>become uneasy</w:t>
      </w:r>
      <w:r w:rsidR="006952CB" w:rsidRPr="00525082">
        <w:rPr>
          <w:color w:val="000000" w:themeColor="text1"/>
        </w:rPr>
        <w:t xml:space="preserve">. Sometimes, the emotional rollercoaster </w:t>
      </w:r>
      <w:r w:rsidR="005275F8" w:rsidRPr="00525082">
        <w:rPr>
          <w:color w:val="000000" w:themeColor="text1"/>
        </w:rPr>
        <w:t>causes them to focus on short-term performance rather than</w:t>
      </w:r>
      <w:r w:rsidR="006952CB" w:rsidRPr="00525082">
        <w:rPr>
          <w:color w:val="000000" w:themeColor="text1"/>
        </w:rPr>
        <w:t xml:space="preserve"> </w:t>
      </w:r>
      <w:r w:rsidR="004D5792" w:rsidRPr="00525082">
        <w:rPr>
          <w:color w:val="000000" w:themeColor="text1"/>
        </w:rPr>
        <w:t xml:space="preserve">long-term </w:t>
      </w:r>
      <w:r w:rsidR="006952CB" w:rsidRPr="00525082">
        <w:rPr>
          <w:color w:val="000000" w:themeColor="text1"/>
        </w:rPr>
        <w:t xml:space="preserve">financial </w:t>
      </w:r>
      <w:r w:rsidR="004D5792" w:rsidRPr="00525082">
        <w:rPr>
          <w:color w:val="000000" w:themeColor="text1"/>
        </w:rPr>
        <w:t>goals</w:t>
      </w:r>
      <w:r w:rsidRPr="00525082">
        <w:rPr>
          <w:color w:val="000000" w:themeColor="text1"/>
        </w:rPr>
        <w:t>.</w:t>
      </w:r>
      <w:r w:rsidR="00AE213D" w:rsidRPr="00525082">
        <w:rPr>
          <w:color w:val="000000" w:themeColor="text1"/>
        </w:rPr>
        <w:t xml:space="preserve"> </w:t>
      </w:r>
      <w:r w:rsidR="006952CB" w:rsidRPr="00525082">
        <w:rPr>
          <w:color w:val="000000" w:themeColor="text1"/>
        </w:rPr>
        <w:t xml:space="preserve">Today, </w:t>
      </w:r>
      <w:r w:rsidR="004B051B" w:rsidRPr="00525082">
        <w:rPr>
          <w:color w:val="000000" w:themeColor="text1"/>
        </w:rPr>
        <w:t xml:space="preserve">market fluctuations, </w:t>
      </w:r>
      <w:r w:rsidR="00D22454" w:rsidRPr="00525082">
        <w:rPr>
          <w:color w:val="000000" w:themeColor="text1"/>
        </w:rPr>
        <w:t>in tandem with health concerns, work anxiety, and social distancing requirements</w:t>
      </w:r>
      <w:r w:rsidR="004B051B" w:rsidRPr="00525082">
        <w:rPr>
          <w:color w:val="000000" w:themeColor="text1"/>
        </w:rPr>
        <w:t>,</w:t>
      </w:r>
      <w:r w:rsidR="00D22454" w:rsidRPr="00525082">
        <w:rPr>
          <w:color w:val="000000" w:themeColor="text1"/>
        </w:rPr>
        <w:t xml:space="preserve"> </w:t>
      </w:r>
      <w:r w:rsidR="004D4C07" w:rsidRPr="00525082">
        <w:rPr>
          <w:color w:val="000000" w:themeColor="text1"/>
        </w:rPr>
        <w:t xml:space="preserve">may </w:t>
      </w:r>
      <w:r w:rsidR="004E69D9" w:rsidRPr="00525082">
        <w:rPr>
          <w:color w:val="000000" w:themeColor="text1"/>
        </w:rPr>
        <w:t>trigger a stronger response</w:t>
      </w:r>
      <w:r w:rsidR="004D5792" w:rsidRPr="00525082">
        <w:rPr>
          <w:color w:val="000000" w:themeColor="text1"/>
        </w:rPr>
        <w:t xml:space="preserve"> than usual</w:t>
      </w:r>
      <w:r w:rsidR="004E69D9" w:rsidRPr="00525082">
        <w:rPr>
          <w:color w:val="000000" w:themeColor="text1"/>
        </w:rPr>
        <w:t xml:space="preserve">, making investors </w:t>
      </w:r>
      <w:r w:rsidR="004B051B" w:rsidRPr="00525082">
        <w:rPr>
          <w:color w:val="000000" w:themeColor="text1"/>
        </w:rPr>
        <w:t>particularly</w:t>
      </w:r>
      <w:r w:rsidR="004E69D9" w:rsidRPr="00525082">
        <w:rPr>
          <w:color w:val="000000" w:themeColor="text1"/>
        </w:rPr>
        <w:t xml:space="preserve"> vulnerable to the </w:t>
      </w:r>
      <w:r w:rsidR="004D5792" w:rsidRPr="00525082">
        <w:rPr>
          <w:color w:val="000000" w:themeColor="text1"/>
        </w:rPr>
        <w:t>emotional</w:t>
      </w:r>
      <w:r w:rsidR="00AE213D" w:rsidRPr="00525082">
        <w:rPr>
          <w:color w:val="000000" w:themeColor="text1"/>
        </w:rPr>
        <w:t xml:space="preserve"> </w:t>
      </w:r>
      <w:r w:rsidR="004E69D9" w:rsidRPr="00525082">
        <w:rPr>
          <w:color w:val="000000" w:themeColor="text1"/>
        </w:rPr>
        <w:t>biases</w:t>
      </w:r>
      <w:r w:rsidR="00AE213D" w:rsidRPr="00525082">
        <w:rPr>
          <w:color w:val="000000" w:themeColor="text1"/>
        </w:rPr>
        <w:t xml:space="preserve"> </w:t>
      </w:r>
      <w:r w:rsidR="001C70DB">
        <w:rPr>
          <w:color w:val="000000" w:themeColor="text1"/>
        </w:rPr>
        <w:t>with</w:t>
      </w:r>
      <w:r w:rsidR="004E69D9" w:rsidRPr="00525082">
        <w:rPr>
          <w:color w:val="000000" w:themeColor="text1"/>
        </w:rPr>
        <w:t>in us</w:t>
      </w:r>
      <w:r w:rsidR="003538A2">
        <w:rPr>
          <w:color w:val="000000" w:themeColor="text1"/>
        </w:rPr>
        <w:t>.</w:t>
      </w:r>
    </w:p>
    <w:p w14:paraId="29B5701E" w14:textId="77777777" w:rsidR="004E69D9" w:rsidRPr="00525082" w:rsidRDefault="004E69D9" w:rsidP="00525082">
      <w:pPr>
        <w:ind w:right="-36"/>
        <w:rPr>
          <w:color w:val="000000" w:themeColor="text1"/>
        </w:rPr>
      </w:pPr>
    </w:p>
    <w:p w14:paraId="32258DCF" w14:textId="1E620344" w:rsidR="003A5744" w:rsidRPr="00525082" w:rsidRDefault="00D22454" w:rsidP="00525082">
      <w:pPr>
        <w:ind w:right="-36"/>
        <w:rPr>
          <w:color w:val="000000" w:themeColor="text1"/>
        </w:rPr>
      </w:pPr>
      <w:r w:rsidRPr="00525082">
        <w:rPr>
          <w:color w:val="000000" w:themeColor="text1"/>
        </w:rPr>
        <w:t xml:space="preserve">If short-term market swings are making you </w:t>
      </w:r>
      <w:r w:rsidR="005275F8" w:rsidRPr="00525082">
        <w:rPr>
          <w:color w:val="000000" w:themeColor="text1"/>
        </w:rPr>
        <w:t xml:space="preserve">restless or </w:t>
      </w:r>
      <w:r w:rsidR="004D5792" w:rsidRPr="00525082">
        <w:rPr>
          <w:color w:val="000000" w:themeColor="text1"/>
        </w:rPr>
        <w:t>uncomfortable</w:t>
      </w:r>
      <w:r w:rsidRPr="00525082">
        <w:rPr>
          <w:color w:val="000000" w:themeColor="text1"/>
        </w:rPr>
        <w:t xml:space="preserve">, </w:t>
      </w:r>
      <w:r w:rsidR="004B051B" w:rsidRPr="00525082">
        <w:rPr>
          <w:color w:val="000000" w:themeColor="text1"/>
        </w:rPr>
        <w:t>don’t keep it to yourself. This is</w:t>
      </w:r>
      <w:r w:rsidR="004E69D9" w:rsidRPr="00525082">
        <w:rPr>
          <w:color w:val="000000" w:themeColor="text1"/>
        </w:rPr>
        <w:t xml:space="preserve"> a good </w:t>
      </w:r>
      <w:r w:rsidR="004B051B" w:rsidRPr="00525082">
        <w:rPr>
          <w:color w:val="000000" w:themeColor="text1"/>
        </w:rPr>
        <w:t xml:space="preserve">time to </w:t>
      </w:r>
      <w:r w:rsidRPr="00525082">
        <w:rPr>
          <w:color w:val="000000" w:themeColor="text1"/>
        </w:rPr>
        <w:t>re-evaluate your risk tolerance</w:t>
      </w:r>
      <w:r w:rsidR="004E69D9" w:rsidRPr="00525082">
        <w:rPr>
          <w:color w:val="000000" w:themeColor="text1"/>
        </w:rPr>
        <w:t>, review</w:t>
      </w:r>
      <w:r w:rsidRPr="00525082">
        <w:rPr>
          <w:color w:val="000000" w:themeColor="text1"/>
        </w:rPr>
        <w:t xml:space="preserve"> </w:t>
      </w:r>
      <w:r w:rsidR="004E69D9" w:rsidRPr="00525082">
        <w:rPr>
          <w:color w:val="000000" w:themeColor="text1"/>
        </w:rPr>
        <w:t xml:space="preserve">your </w:t>
      </w:r>
      <w:r w:rsidR="004D5792" w:rsidRPr="00525082">
        <w:rPr>
          <w:color w:val="000000" w:themeColor="text1"/>
        </w:rPr>
        <w:t>financial goals</w:t>
      </w:r>
      <w:r w:rsidR="004E69D9" w:rsidRPr="00525082">
        <w:rPr>
          <w:color w:val="000000" w:themeColor="text1"/>
        </w:rPr>
        <w:t>, and make sure you have enough cash to meet current needs</w:t>
      </w:r>
      <w:r w:rsidRPr="00525082">
        <w:rPr>
          <w:color w:val="000000" w:themeColor="text1"/>
        </w:rPr>
        <w:t xml:space="preserve">.  </w:t>
      </w:r>
    </w:p>
    <w:p w14:paraId="280485A3" w14:textId="77777777" w:rsidR="00A93254" w:rsidRPr="00525082" w:rsidRDefault="00A93254" w:rsidP="00525082">
      <w:pPr>
        <w:ind w:right="-36"/>
        <w:rPr>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525082" w:rsidRPr="00525082"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D01B380" w:rsidR="00F5154C" w:rsidRPr="00525082" w:rsidRDefault="00F5154C" w:rsidP="00525082">
            <w:pPr>
              <w:ind w:right="-36"/>
              <w:jc w:val="center"/>
              <w:rPr>
                <w:b/>
                <w:bCs/>
                <w:color w:val="000000" w:themeColor="text1"/>
                <w:sz w:val="20"/>
                <w:szCs w:val="20"/>
              </w:rPr>
            </w:pPr>
            <w:r w:rsidRPr="00525082">
              <w:rPr>
                <w:color w:val="000000" w:themeColor="text1"/>
                <w:sz w:val="20"/>
                <w:szCs w:val="20"/>
              </w:rPr>
              <w:br w:type="page"/>
            </w:r>
            <w:r w:rsidR="00A80CE6" w:rsidRPr="00525082">
              <w:rPr>
                <w:b/>
                <w:bCs/>
                <w:color w:val="000000" w:themeColor="text1"/>
                <w:sz w:val="20"/>
                <w:szCs w:val="20"/>
              </w:rPr>
              <w:t xml:space="preserve">Data as of </w:t>
            </w:r>
            <w:r w:rsidR="00A93254" w:rsidRPr="00525082">
              <w:rPr>
                <w:b/>
                <w:bCs/>
                <w:color w:val="000000" w:themeColor="text1"/>
                <w:sz w:val="20"/>
                <w:szCs w:val="20"/>
              </w:rPr>
              <w:t>7</w:t>
            </w:r>
            <w:r w:rsidR="003D5BA6" w:rsidRPr="00525082">
              <w:rPr>
                <w:b/>
                <w:bCs/>
                <w:color w:val="000000" w:themeColor="text1"/>
                <w:sz w:val="20"/>
                <w:szCs w:val="20"/>
              </w:rPr>
              <w:t>/</w:t>
            </w:r>
            <w:r w:rsidR="00A751A5" w:rsidRPr="00525082">
              <w:rPr>
                <w:b/>
                <w:bCs/>
                <w:color w:val="000000" w:themeColor="text1"/>
                <w:sz w:val="20"/>
                <w:szCs w:val="20"/>
              </w:rPr>
              <w:t>10</w:t>
            </w:r>
            <w:r w:rsidR="00FC00CC" w:rsidRPr="00525082">
              <w:rPr>
                <w:b/>
                <w:bCs/>
                <w:color w:val="000000" w:themeColor="text1"/>
                <w:sz w:val="20"/>
                <w:szCs w:val="20"/>
              </w:rPr>
              <w:t>/</w:t>
            </w:r>
            <w:r w:rsidR="00820172" w:rsidRPr="00525082">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25082" w:rsidRDefault="00F5154C" w:rsidP="00525082">
            <w:pPr>
              <w:ind w:right="-36"/>
              <w:jc w:val="center"/>
              <w:rPr>
                <w:b/>
                <w:bCs/>
                <w:color w:val="000000" w:themeColor="text1"/>
                <w:sz w:val="20"/>
                <w:szCs w:val="20"/>
              </w:rPr>
            </w:pPr>
            <w:r w:rsidRPr="00525082">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25082" w:rsidRDefault="00F5154C" w:rsidP="00525082">
            <w:pPr>
              <w:ind w:right="-36"/>
              <w:jc w:val="center"/>
              <w:rPr>
                <w:b/>
                <w:bCs/>
                <w:color w:val="000000" w:themeColor="text1"/>
                <w:sz w:val="20"/>
                <w:szCs w:val="20"/>
              </w:rPr>
            </w:pPr>
            <w:r w:rsidRPr="00525082">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25082" w:rsidRDefault="00F5154C" w:rsidP="00525082">
            <w:pPr>
              <w:ind w:right="-36"/>
              <w:jc w:val="center"/>
              <w:rPr>
                <w:b/>
                <w:bCs/>
                <w:color w:val="000000" w:themeColor="text1"/>
                <w:sz w:val="20"/>
                <w:szCs w:val="20"/>
              </w:rPr>
            </w:pPr>
            <w:r w:rsidRPr="00525082">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25082" w:rsidRDefault="00F5154C" w:rsidP="00525082">
            <w:pPr>
              <w:ind w:right="-36"/>
              <w:jc w:val="center"/>
              <w:rPr>
                <w:b/>
                <w:bCs/>
                <w:color w:val="000000" w:themeColor="text1"/>
                <w:sz w:val="20"/>
                <w:szCs w:val="20"/>
              </w:rPr>
            </w:pPr>
            <w:r w:rsidRPr="00525082">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25082" w:rsidRDefault="00F5154C" w:rsidP="00525082">
            <w:pPr>
              <w:ind w:right="-36"/>
              <w:jc w:val="center"/>
              <w:rPr>
                <w:b/>
                <w:bCs/>
                <w:color w:val="000000" w:themeColor="text1"/>
                <w:sz w:val="20"/>
                <w:szCs w:val="20"/>
              </w:rPr>
            </w:pPr>
            <w:r w:rsidRPr="00525082">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25082" w:rsidRDefault="00F5154C" w:rsidP="00525082">
            <w:pPr>
              <w:ind w:right="-36"/>
              <w:jc w:val="center"/>
              <w:rPr>
                <w:b/>
                <w:bCs/>
                <w:color w:val="000000" w:themeColor="text1"/>
                <w:sz w:val="20"/>
                <w:szCs w:val="20"/>
              </w:rPr>
            </w:pPr>
            <w:r w:rsidRPr="00525082">
              <w:rPr>
                <w:b/>
                <w:bCs/>
                <w:color w:val="000000" w:themeColor="text1"/>
                <w:sz w:val="20"/>
                <w:szCs w:val="20"/>
              </w:rPr>
              <w:t>10-Year</w:t>
            </w:r>
          </w:p>
        </w:tc>
      </w:tr>
      <w:tr w:rsidR="00525082" w:rsidRPr="00525082"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25082" w:rsidRDefault="00F5154C" w:rsidP="00525082">
            <w:pPr>
              <w:ind w:right="-36"/>
              <w:rPr>
                <w:color w:val="000000" w:themeColor="text1"/>
                <w:sz w:val="20"/>
                <w:szCs w:val="20"/>
              </w:rPr>
            </w:pPr>
            <w:r w:rsidRPr="00525082">
              <w:rPr>
                <w:color w:val="000000" w:themeColor="text1"/>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90BF8A9" w:rsidR="00F5154C" w:rsidRPr="00525082" w:rsidRDefault="00580F37" w:rsidP="00525082">
            <w:pPr>
              <w:ind w:right="-36"/>
              <w:jc w:val="center"/>
              <w:rPr>
                <w:color w:val="000000" w:themeColor="text1"/>
                <w:sz w:val="20"/>
                <w:szCs w:val="20"/>
              </w:rPr>
            </w:pPr>
            <w:r w:rsidRPr="00525082">
              <w:rPr>
                <w:color w:val="000000" w:themeColor="text1"/>
                <w:sz w:val="20"/>
                <w:szCs w:val="20"/>
              </w:rPr>
              <w:t>1.8</w:t>
            </w:r>
            <w:r w:rsidR="00F5154C" w:rsidRPr="00525082">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49298327" w:rsidR="00F5154C" w:rsidRPr="00525082" w:rsidRDefault="00314655" w:rsidP="00525082">
            <w:pPr>
              <w:ind w:right="-36"/>
              <w:jc w:val="center"/>
              <w:rPr>
                <w:color w:val="000000" w:themeColor="text1"/>
                <w:sz w:val="20"/>
                <w:szCs w:val="20"/>
              </w:rPr>
            </w:pPr>
            <w:r w:rsidRPr="00525082">
              <w:rPr>
                <w:color w:val="000000" w:themeColor="text1"/>
                <w:sz w:val="20"/>
                <w:szCs w:val="20"/>
              </w:rPr>
              <w:t>-</w:t>
            </w:r>
            <w:r w:rsidR="00D601D3" w:rsidRPr="00525082">
              <w:rPr>
                <w:color w:val="000000" w:themeColor="text1"/>
                <w:sz w:val="20"/>
                <w:szCs w:val="20"/>
              </w:rPr>
              <w:t>1</w:t>
            </w:r>
            <w:r w:rsidR="00580F37" w:rsidRPr="00525082">
              <w:rPr>
                <w:color w:val="000000" w:themeColor="text1"/>
                <w:sz w:val="20"/>
                <w:szCs w:val="20"/>
              </w:rPr>
              <w:t>.4</w:t>
            </w:r>
            <w:r w:rsidR="00F5154C" w:rsidRPr="00525082">
              <w:rPr>
                <w:color w:val="000000" w:themeColor="text1"/>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D63A0B0" w:rsidR="00F5154C" w:rsidRPr="00525082" w:rsidRDefault="00580F37" w:rsidP="00525082">
            <w:pPr>
              <w:ind w:right="-36"/>
              <w:jc w:val="center"/>
              <w:rPr>
                <w:color w:val="000000" w:themeColor="text1"/>
                <w:sz w:val="20"/>
                <w:szCs w:val="20"/>
              </w:rPr>
            </w:pPr>
            <w:r w:rsidRPr="00525082">
              <w:rPr>
                <w:color w:val="000000" w:themeColor="text1"/>
                <w:sz w:val="20"/>
                <w:szCs w:val="20"/>
              </w:rPr>
              <w:t>6.4</w:t>
            </w:r>
            <w:r w:rsidR="00F5154C" w:rsidRPr="00525082">
              <w:rPr>
                <w:color w:val="000000" w:themeColor="text1"/>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157C929" w:rsidR="00F5154C" w:rsidRPr="00525082" w:rsidRDefault="00580F37" w:rsidP="00525082">
            <w:pPr>
              <w:ind w:right="-36"/>
              <w:jc w:val="center"/>
              <w:rPr>
                <w:color w:val="000000" w:themeColor="text1"/>
                <w:sz w:val="20"/>
                <w:szCs w:val="20"/>
              </w:rPr>
            </w:pPr>
            <w:r w:rsidRPr="00525082">
              <w:rPr>
                <w:color w:val="000000" w:themeColor="text1"/>
                <w:sz w:val="20"/>
                <w:szCs w:val="20"/>
              </w:rPr>
              <w:t>9.5</w:t>
            </w:r>
            <w:r w:rsidR="00C2158B" w:rsidRPr="00525082">
              <w:rPr>
                <w:color w:val="000000" w:themeColor="text1"/>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1FEEF8E" w:rsidR="00F5154C" w:rsidRPr="00525082" w:rsidRDefault="00D601D3" w:rsidP="00525082">
            <w:pPr>
              <w:ind w:right="-36"/>
              <w:jc w:val="center"/>
              <w:rPr>
                <w:color w:val="000000" w:themeColor="text1"/>
                <w:sz w:val="20"/>
                <w:szCs w:val="20"/>
              </w:rPr>
            </w:pPr>
            <w:r w:rsidRPr="00525082">
              <w:rPr>
                <w:color w:val="000000" w:themeColor="text1"/>
                <w:sz w:val="20"/>
                <w:szCs w:val="20"/>
              </w:rPr>
              <w:t>8.</w:t>
            </w:r>
            <w:r w:rsidR="00580F37" w:rsidRPr="00525082">
              <w:rPr>
                <w:color w:val="000000" w:themeColor="text1"/>
                <w:sz w:val="20"/>
                <w:szCs w:val="20"/>
              </w:rPr>
              <w:t>9</w:t>
            </w:r>
            <w:r w:rsidR="00F5154C" w:rsidRPr="00525082">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E06224A" w:rsidR="00F5154C" w:rsidRPr="00525082" w:rsidRDefault="00314655" w:rsidP="00525082">
            <w:pPr>
              <w:ind w:right="-36"/>
              <w:jc w:val="center"/>
              <w:rPr>
                <w:color w:val="000000" w:themeColor="text1"/>
                <w:sz w:val="20"/>
                <w:szCs w:val="20"/>
              </w:rPr>
            </w:pPr>
            <w:r w:rsidRPr="00525082">
              <w:rPr>
                <w:color w:val="000000" w:themeColor="text1"/>
                <w:sz w:val="20"/>
                <w:szCs w:val="20"/>
              </w:rPr>
              <w:t>1</w:t>
            </w:r>
            <w:r w:rsidR="00D601D3" w:rsidRPr="00525082">
              <w:rPr>
                <w:color w:val="000000" w:themeColor="text1"/>
                <w:sz w:val="20"/>
                <w:szCs w:val="20"/>
              </w:rPr>
              <w:t>1.</w:t>
            </w:r>
            <w:r w:rsidR="00580F37" w:rsidRPr="00525082">
              <w:rPr>
                <w:color w:val="000000" w:themeColor="text1"/>
                <w:sz w:val="20"/>
                <w:szCs w:val="20"/>
              </w:rPr>
              <w:t>4</w:t>
            </w:r>
            <w:r w:rsidR="00F5154C" w:rsidRPr="00525082">
              <w:rPr>
                <w:color w:val="000000" w:themeColor="text1"/>
                <w:sz w:val="20"/>
                <w:szCs w:val="20"/>
              </w:rPr>
              <w:t>%</w:t>
            </w:r>
          </w:p>
        </w:tc>
      </w:tr>
      <w:tr w:rsidR="00525082" w:rsidRPr="00525082"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25082" w:rsidRDefault="00F5154C" w:rsidP="00525082">
            <w:pPr>
              <w:ind w:right="-36"/>
              <w:rPr>
                <w:color w:val="000000" w:themeColor="text1"/>
                <w:sz w:val="20"/>
                <w:szCs w:val="20"/>
              </w:rPr>
            </w:pPr>
            <w:r w:rsidRPr="00525082">
              <w:rPr>
                <w:color w:val="000000" w:themeColor="text1"/>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190665A4" w:rsidR="00F5154C" w:rsidRPr="00525082" w:rsidRDefault="005D0F7B" w:rsidP="00525082">
            <w:pPr>
              <w:ind w:right="-36"/>
              <w:jc w:val="center"/>
              <w:rPr>
                <w:color w:val="000000" w:themeColor="text1"/>
                <w:sz w:val="20"/>
                <w:szCs w:val="20"/>
              </w:rPr>
            </w:pPr>
            <w:r w:rsidRPr="00525082">
              <w:rPr>
                <w:color w:val="000000" w:themeColor="text1"/>
                <w:sz w:val="20"/>
                <w:szCs w:val="20"/>
              </w:rPr>
              <w:t>1.</w:t>
            </w:r>
            <w:r w:rsidR="00580F37" w:rsidRPr="00525082">
              <w:rPr>
                <w:color w:val="000000" w:themeColor="text1"/>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A071F72" w:rsidR="00F5154C" w:rsidRPr="00525082" w:rsidRDefault="002A5EA2" w:rsidP="00525082">
            <w:pPr>
              <w:ind w:right="-36"/>
              <w:jc w:val="center"/>
              <w:rPr>
                <w:color w:val="000000" w:themeColor="text1"/>
                <w:sz w:val="20"/>
                <w:szCs w:val="20"/>
              </w:rPr>
            </w:pPr>
            <w:r w:rsidRPr="00525082">
              <w:rPr>
                <w:color w:val="000000" w:themeColor="text1"/>
                <w:sz w:val="20"/>
                <w:szCs w:val="20"/>
              </w:rPr>
              <w:t>-</w:t>
            </w:r>
            <w:r w:rsidR="00580F37" w:rsidRPr="00525082">
              <w:rPr>
                <w:color w:val="000000" w:themeColor="text1"/>
                <w:sz w:val="20"/>
                <w:szCs w:val="20"/>
              </w:rPr>
              <w:t>9.0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1A27177" w:rsidR="00F5154C" w:rsidRPr="00525082" w:rsidRDefault="00005E25" w:rsidP="00525082">
            <w:pPr>
              <w:ind w:right="-36"/>
              <w:jc w:val="center"/>
              <w:rPr>
                <w:color w:val="000000" w:themeColor="text1"/>
                <w:sz w:val="20"/>
                <w:szCs w:val="20"/>
              </w:rPr>
            </w:pPr>
            <w:r w:rsidRPr="00525082">
              <w:rPr>
                <w:color w:val="000000" w:themeColor="text1"/>
                <w:sz w:val="20"/>
                <w:szCs w:val="20"/>
              </w:rPr>
              <w:t>-</w:t>
            </w:r>
            <w:r w:rsidR="00580F37" w:rsidRPr="00525082">
              <w:rPr>
                <w:color w:val="000000" w:themeColor="text1"/>
                <w:sz w:val="20"/>
                <w:szCs w:val="20"/>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9464347" w:rsidR="00F5154C" w:rsidRPr="00525082" w:rsidRDefault="002840F0" w:rsidP="00525082">
            <w:pPr>
              <w:ind w:right="-36"/>
              <w:jc w:val="center"/>
              <w:rPr>
                <w:color w:val="000000" w:themeColor="text1"/>
                <w:sz w:val="20"/>
                <w:szCs w:val="20"/>
              </w:rPr>
            </w:pPr>
            <w:r w:rsidRPr="00525082">
              <w:rPr>
                <w:color w:val="000000" w:themeColor="text1"/>
                <w:sz w:val="20"/>
                <w:szCs w:val="20"/>
              </w:rPr>
              <w:t>-</w:t>
            </w:r>
            <w:r w:rsidR="00D601D3" w:rsidRPr="00525082">
              <w:rPr>
                <w:color w:val="000000" w:themeColor="text1"/>
                <w:sz w:val="20"/>
                <w:szCs w:val="20"/>
              </w:rPr>
              <w:t>0.</w:t>
            </w:r>
            <w:r w:rsidR="00580F37" w:rsidRPr="00525082">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5474C3A" w:rsidR="00F5154C" w:rsidRPr="00525082" w:rsidRDefault="00005E25" w:rsidP="00525082">
            <w:pPr>
              <w:ind w:right="-36"/>
              <w:jc w:val="center"/>
              <w:rPr>
                <w:color w:val="000000" w:themeColor="text1"/>
                <w:sz w:val="20"/>
                <w:szCs w:val="20"/>
              </w:rPr>
            </w:pPr>
            <w:r w:rsidRPr="00525082">
              <w:rPr>
                <w:color w:val="000000" w:themeColor="text1"/>
                <w:sz w:val="20"/>
                <w:szCs w:val="20"/>
              </w:rPr>
              <w:t>0.</w:t>
            </w:r>
            <w:r w:rsidR="00580F37" w:rsidRPr="00525082">
              <w:rPr>
                <w:color w:val="000000" w:themeColor="text1"/>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3306C51" w:rsidR="00F5154C" w:rsidRPr="00525082" w:rsidRDefault="00005E25" w:rsidP="00525082">
            <w:pPr>
              <w:ind w:right="-36"/>
              <w:jc w:val="center"/>
              <w:rPr>
                <w:color w:val="000000" w:themeColor="text1"/>
                <w:sz w:val="20"/>
                <w:szCs w:val="20"/>
              </w:rPr>
            </w:pPr>
            <w:r w:rsidRPr="00525082">
              <w:rPr>
                <w:color w:val="000000" w:themeColor="text1"/>
                <w:sz w:val="20"/>
                <w:szCs w:val="20"/>
              </w:rPr>
              <w:t>2.</w:t>
            </w:r>
            <w:r w:rsidR="00580F37" w:rsidRPr="00525082">
              <w:rPr>
                <w:color w:val="000000" w:themeColor="text1"/>
                <w:sz w:val="20"/>
                <w:szCs w:val="20"/>
              </w:rPr>
              <w:t>6</w:t>
            </w:r>
          </w:p>
        </w:tc>
      </w:tr>
      <w:tr w:rsidR="00525082" w:rsidRPr="00525082"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25082" w:rsidRDefault="00F5154C" w:rsidP="00525082">
            <w:pPr>
              <w:ind w:right="-36"/>
              <w:rPr>
                <w:color w:val="000000" w:themeColor="text1"/>
                <w:sz w:val="20"/>
                <w:szCs w:val="20"/>
              </w:rPr>
            </w:pPr>
            <w:r w:rsidRPr="00525082">
              <w:rPr>
                <w:color w:val="000000" w:themeColor="text1"/>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82174EF" w:rsidR="00F5154C" w:rsidRPr="00525082" w:rsidRDefault="00804441" w:rsidP="00525082">
            <w:pPr>
              <w:ind w:right="-36"/>
              <w:jc w:val="center"/>
              <w:rPr>
                <w:color w:val="000000" w:themeColor="text1"/>
                <w:sz w:val="20"/>
                <w:szCs w:val="20"/>
              </w:rPr>
            </w:pPr>
            <w:r w:rsidRPr="00525082">
              <w:rPr>
                <w:color w:val="000000" w:themeColor="text1"/>
                <w:sz w:val="20"/>
                <w:szCs w:val="20"/>
              </w:rPr>
              <w:t>0.</w:t>
            </w:r>
            <w:r w:rsidR="00580F37" w:rsidRPr="00525082">
              <w:rPr>
                <w:color w:val="000000" w:themeColor="text1"/>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25082" w:rsidRDefault="00F5154C" w:rsidP="00525082">
            <w:pPr>
              <w:ind w:right="-36"/>
              <w:jc w:val="center"/>
              <w:rPr>
                <w:color w:val="000000" w:themeColor="text1"/>
                <w:sz w:val="20"/>
                <w:szCs w:val="20"/>
              </w:rPr>
            </w:pPr>
            <w:r w:rsidRPr="00525082">
              <w:rPr>
                <w:color w:val="000000" w:themeColor="text1"/>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A1FB1A7" w:rsidR="00F5154C" w:rsidRPr="00525082" w:rsidRDefault="00005E25" w:rsidP="00525082">
            <w:pPr>
              <w:ind w:right="-36"/>
              <w:jc w:val="center"/>
              <w:rPr>
                <w:color w:val="000000" w:themeColor="text1"/>
                <w:sz w:val="20"/>
                <w:szCs w:val="20"/>
              </w:rPr>
            </w:pPr>
            <w:r w:rsidRPr="00525082">
              <w:rPr>
                <w:color w:val="000000" w:themeColor="text1"/>
                <w:sz w:val="20"/>
                <w:szCs w:val="20"/>
              </w:rPr>
              <w:t>2.</w:t>
            </w:r>
            <w:r w:rsidR="00580F37" w:rsidRPr="00525082">
              <w:rPr>
                <w:color w:val="000000" w:themeColor="text1"/>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412169D6" w:rsidR="00F5154C" w:rsidRPr="00525082" w:rsidRDefault="00BB3FCD" w:rsidP="00525082">
            <w:pPr>
              <w:ind w:right="-36"/>
              <w:jc w:val="center"/>
              <w:rPr>
                <w:color w:val="000000" w:themeColor="text1"/>
                <w:sz w:val="20"/>
                <w:szCs w:val="20"/>
              </w:rPr>
            </w:pPr>
            <w:r w:rsidRPr="00525082">
              <w:rPr>
                <w:color w:val="000000" w:themeColor="text1"/>
                <w:sz w:val="20"/>
                <w:szCs w:val="20"/>
              </w:rPr>
              <w:t>2.</w:t>
            </w:r>
            <w:r w:rsidR="00580F37" w:rsidRPr="00525082">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B94F99E" w:rsidR="00F5154C" w:rsidRPr="00525082" w:rsidRDefault="003D7299" w:rsidP="00525082">
            <w:pPr>
              <w:ind w:right="-36"/>
              <w:jc w:val="center"/>
              <w:rPr>
                <w:color w:val="000000" w:themeColor="text1"/>
                <w:sz w:val="20"/>
                <w:szCs w:val="20"/>
              </w:rPr>
            </w:pPr>
            <w:r w:rsidRPr="00525082">
              <w:rPr>
                <w:color w:val="000000" w:themeColor="text1"/>
                <w:sz w:val="20"/>
                <w:szCs w:val="20"/>
              </w:rPr>
              <w:t>2.</w:t>
            </w:r>
            <w:r w:rsidR="00D601D3" w:rsidRPr="00525082">
              <w:rPr>
                <w:color w:val="000000" w:themeColor="text1"/>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83CAB24" w:rsidR="00F5154C" w:rsidRPr="00525082" w:rsidRDefault="00804441" w:rsidP="00525082">
            <w:pPr>
              <w:ind w:right="-36"/>
              <w:jc w:val="center"/>
              <w:rPr>
                <w:color w:val="000000" w:themeColor="text1"/>
                <w:sz w:val="20"/>
                <w:szCs w:val="20"/>
              </w:rPr>
            </w:pPr>
            <w:r w:rsidRPr="00525082">
              <w:rPr>
                <w:color w:val="000000" w:themeColor="text1"/>
                <w:sz w:val="20"/>
                <w:szCs w:val="20"/>
              </w:rPr>
              <w:t>3.</w:t>
            </w:r>
            <w:r w:rsidR="00580F37" w:rsidRPr="00525082">
              <w:rPr>
                <w:color w:val="000000" w:themeColor="text1"/>
                <w:sz w:val="20"/>
                <w:szCs w:val="20"/>
              </w:rPr>
              <w:t>1</w:t>
            </w:r>
          </w:p>
        </w:tc>
      </w:tr>
      <w:tr w:rsidR="00525082" w:rsidRPr="00525082"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25082" w:rsidRDefault="00F5154C" w:rsidP="00525082">
            <w:pPr>
              <w:ind w:right="-36"/>
              <w:rPr>
                <w:color w:val="000000" w:themeColor="text1"/>
                <w:sz w:val="20"/>
                <w:szCs w:val="20"/>
              </w:rPr>
            </w:pPr>
            <w:r w:rsidRPr="00525082">
              <w:rPr>
                <w:color w:val="000000" w:themeColor="text1"/>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B3F450E" w:rsidR="00F5154C" w:rsidRPr="00525082" w:rsidRDefault="00D601D3" w:rsidP="00525082">
            <w:pPr>
              <w:ind w:right="-36"/>
              <w:jc w:val="center"/>
              <w:rPr>
                <w:color w:val="000000" w:themeColor="text1"/>
                <w:sz w:val="20"/>
                <w:szCs w:val="20"/>
              </w:rPr>
            </w:pPr>
            <w:r w:rsidRPr="00525082">
              <w:rPr>
                <w:color w:val="000000" w:themeColor="text1"/>
                <w:sz w:val="20"/>
                <w:szCs w:val="20"/>
              </w:rPr>
              <w:t>1.</w:t>
            </w:r>
            <w:r w:rsidR="00580F37" w:rsidRPr="00525082">
              <w:rPr>
                <w:color w:val="000000" w:themeColor="text1"/>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BE39B62" w:rsidR="00F5154C" w:rsidRPr="00525082" w:rsidRDefault="00804441" w:rsidP="00525082">
            <w:pPr>
              <w:ind w:right="-36"/>
              <w:jc w:val="center"/>
              <w:rPr>
                <w:color w:val="000000" w:themeColor="text1"/>
                <w:sz w:val="20"/>
                <w:szCs w:val="20"/>
              </w:rPr>
            </w:pPr>
            <w:r w:rsidRPr="00525082">
              <w:rPr>
                <w:color w:val="000000" w:themeColor="text1"/>
                <w:sz w:val="20"/>
                <w:szCs w:val="20"/>
              </w:rPr>
              <w:t>1</w:t>
            </w:r>
            <w:r w:rsidR="00580F37" w:rsidRPr="00525082">
              <w:rPr>
                <w:color w:val="000000" w:themeColor="text1"/>
                <w:sz w:val="20"/>
                <w:szCs w:val="20"/>
              </w:rPr>
              <w:t>8</w:t>
            </w:r>
            <w:r w:rsidR="00D601D3" w:rsidRPr="00525082">
              <w:rPr>
                <w:color w:val="000000" w:themeColor="text1"/>
                <w:sz w:val="20"/>
                <w:szCs w:val="20"/>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AB84E8A" w:rsidR="00F5154C" w:rsidRPr="00525082" w:rsidRDefault="005D0F7B" w:rsidP="00525082">
            <w:pPr>
              <w:ind w:right="-36"/>
              <w:jc w:val="center"/>
              <w:rPr>
                <w:color w:val="000000" w:themeColor="text1"/>
                <w:sz w:val="20"/>
                <w:szCs w:val="20"/>
              </w:rPr>
            </w:pPr>
            <w:r w:rsidRPr="00525082">
              <w:rPr>
                <w:color w:val="000000" w:themeColor="text1"/>
                <w:sz w:val="20"/>
                <w:szCs w:val="20"/>
              </w:rPr>
              <w:t>2</w:t>
            </w:r>
            <w:r w:rsidR="00580F37" w:rsidRPr="00525082">
              <w:rPr>
                <w:color w:val="000000" w:themeColor="text1"/>
                <w:sz w:val="20"/>
                <w:szCs w:val="20"/>
              </w:rPr>
              <w:t>8.0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573544F" w:rsidR="00F5154C" w:rsidRPr="00525082" w:rsidRDefault="00903F44" w:rsidP="00525082">
            <w:pPr>
              <w:ind w:right="-36"/>
              <w:jc w:val="center"/>
              <w:rPr>
                <w:color w:val="000000" w:themeColor="text1"/>
                <w:sz w:val="20"/>
                <w:szCs w:val="20"/>
              </w:rPr>
            </w:pPr>
            <w:r w:rsidRPr="00525082">
              <w:rPr>
                <w:color w:val="000000" w:themeColor="text1"/>
                <w:sz w:val="20"/>
                <w:szCs w:val="20"/>
              </w:rPr>
              <w:t>1</w:t>
            </w:r>
            <w:r w:rsidR="00580F37" w:rsidRPr="00525082">
              <w:rPr>
                <w:color w:val="000000" w:themeColor="text1"/>
                <w:sz w:val="20"/>
                <w:szCs w:val="20"/>
              </w:rPr>
              <w:t>4.2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10411F6" w:rsidR="00F5154C" w:rsidRPr="00525082" w:rsidRDefault="00580F37" w:rsidP="00525082">
            <w:pPr>
              <w:ind w:right="-36"/>
              <w:jc w:val="center"/>
              <w:rPr>
                <w:color w:val="000000" w:themeColor="text1"/>
                <w:sz w:val="20"/>
                <w:szCs w:val="20"/>
              </w:rPr>
            </w:pPr>
            <w:r w:rsidRPr="00525082">
              <w:rPr>
                <w:color w:val="000000" w:themeColor="text1"/>
                <w:sz w:val="20"/>
                <w:szCs w:val="20"/>
              </w:rPr>
              <w:t>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A969630" w:rsidR="00F5154C" w:rsidRPr="00525082" w:rsidRDefault="00580F37" w:rsidP="00525082">
            <w:pPr>
              <w:ind w:right="-36"/>
              <w:jc w:val="center"/>
              <w:rPr>
                <w:color w:val="000000" w:themeColor="text1"/>
                <w:sz w:val="20"/>
                <w:szCs w:val="20"/>
              </w:rPr>
            </w:pPr>
            <w:r w:rsidRPr="00525082">
              <w:rPr>
                <w:color w:val="000000" w:themeColor="text1"/>
                <w:sz w:val="20"/>
                <w:szCs w:val="20"/>
              </w:rPr>
              <w:t>4.1</w:t>
            </w:r>
          </w:p>
        </w:tc>
      </w:tr>
      <w:tr w:rsidR="00525082" w:rsidRPr="00525082"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25082" w:rsidRDefault="00F5154C" w:rsidP="00525082">
            <w:pPr>
              <w:ind w:right="-36"/>
              <w:rPr>
                <w:color w:val="000000" w:themeColor="text1"/>
                <w:sz w:val="20"/>
                <w:szCs w:val="20"/>
              </w:rPr>
            </w:pPr>
            <w:r w:rsidRPr="00525082">
              <w:rPr>
                <w:color w:val="000000" w:themeColor="text1"/>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3887223" w:rsidR="00F5154C" w:rsidRPr="00525082" w:rsidRDefault="00580F37" w:rsidP="00525082">
            <w:pPr>
              <w:ind w:right="-36"/>
              <w:jc w:val="center"/>
              <w:rPr>
                <w:color w:val="000000" w:themeColor="text1"/>
                <w:sz w:val="20"/>
                <w:szCs w:val="20"/>
              </w:rPr>
            </w:pPr>
            <w:r w:rsidRPr="00525082">
              <w:rPr>
                <w:color w:val="000000" w:themeColor="text1"/>
                <w:sz w:val="20"/>
                <w:szCs w:val="20"/>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DF029A4" w:rsidR="00F5154C" w:rsidRPr="00525082" w:rsidRDefault="002D64F9" w:rsidP="00525082">
            <w:pPr>
              <w:ind w:right="-36"/>
              <w:jc w:val="center"/>
              <w:rPr>
                <w:color w:val="000000" w:themeColor="text1"/>
                <w:sz w:val="20"/>
                <w:szCs w:val="20"/>
              </w:rPr>
            </w:pPr>
            <w:r w:rsidRPr="00525082">
              <w:rPr>
                <w:color w:val="000000" w:themeColor="text1"/>
                <w:sz w:val="20"/>
                <w:szCs w:val="20"/>
              </w:rPr>
              <w:t>-</w:t>
            </w:r>
            <w:r w:rsidR="00DF2C21" w:rsidRPr="00525082">
              <w:rPr>
                <w:color w:val="000000" w:themeColor="text1"/>
                <w:sz w:val="20"/>
                <w:szCs w:val="20"/>
              </w:rPr>
              <w:t>1</w:t>
            </w:r>
            <w:r w:rsidR="00580F37" w:rsidRPr="00525082">
              <w:rPr>
                <w:color w:val="000000" w:themeColor="text1"/>
                <w:sz w:val="20"/>
                <w:szCs w:val="20"/>
              </w:rPr>
              <w:t>7.6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85CD3AF" w:rsidR="00F5154C" w:rsidRPr="00525082" w:rsidRDefault="001D04EF" w:rsidP="00525082">
            <w:pPr>
              <w:ind w:right="-36"/>
              <w:jc w:val="center"/>
              <w:rPr>
                <w:color w:val="000000" w:themeColor="text1"/>
                <w:sz w:val="20"/>
                <w:szCs w:val="20"/>
              </w:rPr>
            </w:pPr>
            <w:r w:rsidRPr="00525082">
              <w:rPr>
                <w:color w:val="000000" w:themeColor="text1"/>
                <w:sz w:val="20"/>
                <w:szCs w:val="20"/>
              </w:rPr>
              <w:t>-</w:t>
            </w:r>
            <w:r w:rsidR="00D601D3" w:rsidRPr="00525082">
              <w:rPr>
                <w:color w:val="000000" w:themeColor="text1"/>
                <w:sz w:val="20"/>
                <w:szCs w:val="20"/>
              </w:rPr>
              <w:t>1</w:t>
            </w:r>
            <w:r w:rsidR="00580F37" w:rsidRPr="00525082">
              <w:rPr>
                <w:color w:val="000000" w:themeColor="text1"/>
                <w:sz w:val="20"/>
                <w:szCs w:val="20"/>
              </w:rPr>
              <w:t>7.2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75C52850" w:rsidR="00F5154C" w:rsidRPr="00525082" w:rsidRDefault="009F11D1" w:rsidP="00525082">
            <w:pPr>
              <w:ind w:right="-36"/>
              <w:jc w:val="center"/>
              <w:rPr>
                <w:color w:val="000000" w:themeColor="text1"/>
                <w:sz w:val="20"/>
                <w:szCs w:val="20"/>
              </w:rPr>
            </w:pPr>
            <w:r w:rsidRPr="00525082">
              <w:rPr>
                <w:color w:val="000000" w:themeColor="text1"/>
                <w:sz w:val="20"/>
                <w:szCs w:val="20"/>
              </w:rPr>
              <w:t>-</w:t>
            </w:r>
            <w:r w:rsidR="00D601D3" w:rsidRPr="00525082">
              <w:rPr>
                <w:color w:val="000000" w:themeColor="text1"/>
                <w:sz w:val="20"/>
                <w:szCs w:val="20"/>
              </w:rPr>
              <w:t>6</w:t>
            </w:r>
            <w:r w:rsidR="00580F37" w:rsidRPr="00525082">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4FFEB62" w:rsidR="00F5154C" w:rsidRPr="00525082" w:rsidRDefault="00314655" w:rsidP="00525082">
            <w:pPr>
              <w:ind w:right="-36"/>
              <w:jc w:val="center"/>
              <w:rPr>
                <w:color w:val="000000" w:themeColor="text1"/>
                <w:sz w:val="20"/>
                <w:szCs w:val="20"/>
              </w:rPr>
            </w:pPr>
            <w:r w:rsidRPr="00525082">
              <w:rPr>
                <w:color w:val="000000" w:themeColor="text1"/>
                <w:sz w:val="20"/>
                <w:szCs w:val="20"/>
              </w:rPr>
              <w:t>-</w:t>
            </w:r>
            <w:r w:rsidR="00580F37" w:rsidRPr="00525082">
              <w:rPr>
                <w:color w:val="000000" w:themeColor="text1"/>
                <w:sz w:val="20"/>
                <w:szCs w:val="20"/>
              </w:rPr>
              <w:t>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F726B3D" w:rsidR="00F5154C" w:rsidRPr="00525082" w:rsidRDefault="008F0235" w:rsidP="00525082">
            <w:pPr>
              <w:ind w:right="-36"/>
              <w:jc w:val="center"/>
              <w:rPr>
                <w:color w:val="000000" w:themeColor="text1"/>
                <w:sz w:val="20"/>
                <w:szCs w:val="20"/>
              </w:rPr>
            </w:pPr>
            <w:r w:rsidRPr="00525082">
              <w:rPr>
                <w:color w:val="000000" w:themeColor="text1"/>
                <w:sz w:val="20"/>
                <w:szCs w:val="20"/>
              </w:rPr>
              <w:t>-</w:t>
            </w:r>
            <w:r w:rsidR="00DF2C21" w:rsidRPr="00525082">
              <w:rPr>
                <w:color w:val="000000" w:themeColor="text1"/>
                <w:sz w:val="20"/>
                <w:szCs w:val="20"/>
              </w:rPr>
              <w:t>6.</w:t>
            </w:r>
            <w:r w:rsidR="00580F37" w:rsidRPr="00525082">
              <w:rPr>
                <w:color w:val="000000" w:themeColor="text1"/>
                <w:sz w:val="20"/>
                <w:szCs w:val="20"/>
              </w:rPr>
              <w:t>2</w:t>
            </w:r>
          </w:p>
        </w:tc>
      </w:tr>
    </w:tbl>
    <w:p w14:paraId="5E61298C" w14:textId="3BDB6DF9" w:rsidR="00B41B8C" w:rsidRPr="00525082" w:rsidRDefault="00B41B8C" w:rsidP="00525082">
      <w:pPr>
        <w:ind w:right="-36"/>
        <w:rPr>
          <w:color w:val="000000" w:themeColor="text1"/>
          <w:sz w:val="16"/>
        </w:rPr>
      </w:pPr>
      <w:r w:rsidRPr="00525082">
        <w:rPr>
          <w:color w:val="000000" w:themeColor="text1"/>
          <w:sz w:val="16"/>
        </w:rPr>
        <w:t xml:space="preserve">S&amp;P 500, </w:t>
      </w:r>
      <w:r w:rsidR="006063C9" w:rsidRPr="00525082">
        <w:rPr>
          <w:color w:val="000000" w:themeColor="text1"/>
          <w:sz w:val="16"/>
        </w:rPr>
        <w:t xml:space="preserve">Dow Jones Global ex-US, </w:t>
      </w:r>
      <w:r w:rsidRPr="00525082">
        <w:rPr>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25082">
        <w:rPr>
          <w:color w:val="000000" w:themeColor="text1"/>
          <w:sz w:val="16"/>
        </w:rPr>
        <w:t xml:space="preserve"> </w:t>
      </w:r>
    </w:p>
    <w:p w14:paraId="5083B7E6" w14:textId="44B231E3" w:rsidR="00B41B8C" w:rsidRPr="00525082" w:rsidRDefault="00B41B8C" w:rsidP="00525082">
      <w:pPr>
        <w:ind w:right="-36"/>
        <w:rPr>
          <w:color w:val="000000" w:themeColor="text1"/>
          <w:sz w:val="16"/>
        </w:rPr>
      </w:pPr>
      <w:r w:rsidRPr="00525082">
        <w:rPr>
          <w:color w:val="000000" w:themeColor="text1"/>
          <w:sz w:val="16"/>
        </w:rPr>
        <w:t xml:space="preserve">Sources: Yahoo! Finance, </w:t>
      </w:r>
      <w:r w:rsidR="00CF0FAD" w:rsidRPr="00525082">
        <w:rPr>
          <w:color w:val="000000" w:themeColor="text1"/>
          <w:sz w:val="16"/>
        </w:rPr>
        <w:t>MarketWatch</w:t>
      </w:r>
      <w:r w:rsidRPr="00525082">
        <w:rPr>
          <w:color w:val="000000" w:themeColor="text1"/>
          <w:sz w:val="16"/>
        </w:rPr>
        <w:t>, djindexes.com, London Bullion Market Association.</w:t>
      </w:r>
    </w:p>
    <w:p w14:paraId="502EFC39" w14:textId="19AC0F5F" w:rsidR="003646AE" w:rsidRPr="00525082" w:rsidRDefault="00B41B8C" w:rsidP="00525082">
      <w:pPr>
        <w:ind w:right="-36"/>
        <w:rPr>
          <w:color w:val="000000" w:themeColor="text1"/>
          <w:sz w:val="16"/>
        </w:rPr>
      </w:pPr>
      <w:r w:rsidRPr="00525082">
        <w:rPr>
          <w:color w:val="000000" w:themeColor="text1"/>
          <w:sz w:val="16"/>
        </w:rPr>
        <w:t>Past performance is no guarantee of future results. Indices are unmanaged and cannot be invested into directly. N/A means not applicable.</w:t>
      </w:r>
    </w:p>
    <w:p w14:paraId="087C0B5E" w14:textId="77777777" w:rsidR="00FF16AD" w:rsidRPr="00525082" w:rsidRDefault="00FF16AD" w:rsidP="00525082">
      <w:pPr>
        <w:ind w:right="-36"/>
        <w:rPr>
          <w:color w:val="000000" w:themeColor="text1"/>
        </w:rPr>
      </w:pPr>
    </w:p>
    <w:p w14:paraId="02BD6D79" w14:textId="53D3CDEE" w:rsidR="00B01F4A" w:rsidRPr="00525082" w:rsidRDefault="002C61E5" w:rsidP="00525082">
      <w:pPr>
        <w:ind w:right="-36"/>
        <w:rPr>
          <w:color w:val="000000" w:themeColor="text1"/>
        </w:rPr>
      </w:pPr>
      <w:r w:rsidRPr="00525082">
        <w:rPr>
          <w:b/>
          <w:bCs/>
          <w:caps/>
          <w:color w:val="000000" w:themeColor="text1"/>
        </w:rPr>
        <w:lastRenderedPageBreak/>
        <w:t>The coronavirus effect.</w:t>
      </w:r>
      <w:r w:rsidR="00EF41FB" w:rsidRPr="00525082">
        <w:rPr>
          <w:b/>
          <w:bCs/>
          <w:caps/>
          <w:color w:val="000000" w:themeColor="text1"/>
        </w:rPr>
        <w:t xml:space="preserve"> </w:t>
      </w:r>
      <w:r w:rsidR="001C70DB">
        <w:rPr>
          <w:color w:val="000000" w:themeColor="text1"/>
        </w:rPr>
        <w:t>COVID</w:t>
      </w:r>
      <w:r w:rsidRPr="00525082">
        <w:rPr>
          <w:color w:val="000000" w:themeColor="text1"/>
        </w:rPr>
        <w:t xml:space="preserve">-19 </w:t>
      </w:r>
      <w:r w:rsidR="0091639E" w:rsidRPr="00525082">
        <w:rPr>
          <w:color w:val="000000" w:themeColor="text1"/>
        </w:rPr>
        <w:t>has been</w:t>
      </w:r>
      <w:r w:rsidRPr="00525082">
        <w:rPr>
          <w:color w:val="000000" w:themeColor="text1"/>
        </w:rPr>
        <w:t xml:space="preserve"> reshaping Americans’ financial habits. </w:t>
      </w:r>
      <w:r w:rsidR="0091639E" w:rsidRPr="00525082">
        <w:rPr>
          <w:color w:val="000000" w:themeColor="text1"/>
        </w:rPr>
        <w:t>During the second quarter, credit card debt and personal savings data showed, overall, we were</w:t>
      </w:r>
      <w:r w:rsidRPr="00525082">
        <w:rPr>
          <w:color w:val="000000" w:themeColor="text1"/>
        </w:rPr>
        <w:t xml:space="preserve"> </w:t>
      </w:r>
      <w:r w:rsidR="00B01F4A" w:rsidRPr="00525082">
        <w:rPr>
          <w:color w:val="000000" w:themeColor="text1"/>
        </w:rPr>
        <w:t xml:space="preserve">spending less and </w:t>
      </w:r>
      <w:r w:rsidRPr="00525082">
        <w:rPr>
          <w:color w:val="000000" w:themeColor="text1"/>
        </w:rPr>
        <w:t>saving more than ever before.</w:t>
      </w:r>
    </w:p>
    <w:p w14:paraId="4F2C790E" w14:textId="77777777" w:rsidR="00321029" w:rsidRPr="00525082" w:rsidRDefault="00321029" w:rsidP="00525082">
      <w:pPr>
        <w:ind w:right="-36"/>
        <w:rPr>
          <w:color w:val="000000" w:themeColor="text1"/>
        </w:rPr>
      </w:pPr>
    </w:p>
    <w:p w14:paraId="0583E92D" w14:textId="71DBFB60" w:rsidR="00B01F4A" w:rsidRPr="00525082" w:rsidRDefault="002C61E5" w:rsidP="00525082">
      <w:pPr>
        <w:ind w:right="-36"/>
        <w:rPr>
          <w:color w:val="000000" w:themeColor="text1"/>
        </w:rPr>
      </w:pPr>
      <w:r w:rsidRPr="00525082">
        <w:rPr>
          <w:color w:val="000000" w:themeColor="text1"/>
        </w:rPr>
        <w:t xml:space="preserve">In 2019, when a pandemic was a </w:t>
      </w:r>
      <w:r w:rsidR="0091639E" w:rsidRPr="00525082">
        <w:rPr>
          <w:color w:val="000000" w:themeColor="text1"/>
        </w:rPr>
        <w:t xml:space="preserve">planning and preparedness </w:t>
      </w:r>
      <w:r w:rsidRPr="00525082">
        <w:rPr>
          <w:color w:val="000000" w:themeColor="text1"/>
        </w:rPr>
        <w:t>exercise for epidemiologists</w:t>
      </w:r>
      <w:r w:rsidR="0091639E" w:rsidRPr="00525082">
        <w:rPr>
          <w:color w:val="000000" w:themeColor="text1"/>
        </w:rPr>
        <w:t>, healthcare professionals,</w:t>
      </w:r>
      <w:r w:rsidRPr="00525082">
        <w:rPr>
          <w:color w:val="000000" w:themeColor="text1"/>
        </w:rPr>
        <w:t xml:space="preserve"> and health officials, </w:t>
      </w:r>
      <w:r w:rsidR="00B01F4A" w:rsidRPr="00525082">
        <w:rPr>
          <w:color w:val="000000" w:themeColor="text1"/>
        </w:rPr>
        <w:t>the debt Americans accrue</w:t>
      </w:r>
      <w:r w:rsidR="0091639E" w:rsidRPr="00525082">
        <w:rPr>
          <w:color w:val="000000" w:themeColor="text1"/>
        </w:rPr>
        <w:t>d</w:t>
      </w:r>
      <w:r w:rsidR="00B01F4A" w:rsidRPr="00525082">
        <w:rPr>
          <w:color w:val="000000" w:themeColor="text1"/>
        </w:rPr>
        <w:t xml:space="preserve"> on credit cards</w:t>
      </w:r>
      <w:r w:rsidR="0091639E" w:rsidRPr="00525082">
        <w:rPr>
          <w:color w:val="000000" w:themeColor="text1"/>
        </w:rPr>
        <w:t xml:space="preserve"> </w:t>
      </w:r>
      <w:r w:rsidR="00B01F4A" w:rsidRPr="00525082">
        <w:rPr>
          <w:color w:val="000000" w:themeColor="text1"/>
        </w:rPr>
        <w:t xml:space="preserve">increased between </w:t>
      </w:r>
      <w:r w:rsidR="0091639E" w:rsidRPr="00525082">
        <w:rPr>
          <w:color w:val="000000" w:themeColor="text1"/>
        </w:rPr>
        <w:t>2.5</w:t>
      </w:r>
      <w:r w:rsidR="00B01F4A" w:rsidRPr="00525082">
        <w:rPr>
          <w:color w:val="000000" w:themeColor="text1"/>
        </w:rPr>
        <w:t xml:space="preserve"> and </w:t>
      </w:r>
      <w:r w:rsidR="0091639E" w:rsidRPr="00525082">
        <w:rPr>
          <w:color w:val="000000" w:themeColor="text1"/>
        </w:rPr>
        <w:t>4.6</w:t>
      </w:r>
      <w:r w:rsidR="00B01F4A" w:rsidRPr="00525082">
        <w:rPr>
          <w:color w:val="000000" w:themeColor="text1"/>
        </w:rPr>
        <w:t xml:space="preserve"> percent each quarter.</w:t>
      </w:r>
    </w:p>
    <w:p w14:paraId="61C4B7E4" w14:textId="77777777" w:rsidR="00B01F4A" w:rsidRPr="00525082" w:rsidRDefault="00B01F4A" w:rsidP="00525082">
      <w:pPr>
        <w:ind w:right="-36"/>
        <w:rPr>
          <w:color w:val="000000" w:themeColor="text1"/>
        </w:rPr>
      </w:pPr>
    </w:p>
    <w:p w14:paraId="7B138015" w14:textId="3BD7A181" w:rsidR="00204F09" w:rsidRPr="00525082" w:rsidRDefault="00204F09" w:rsidP="00525082">
      <w:pPr>
        <w:ind w:right="-36"/>
        <w:rPr>
          <w:color w:val="000000" w:themeColor="text1"/>
        </w:rPr>
      </w:pPr>
      <w:r w:rsidRPr="00525082">
        <w:rPr>
          <w:color w:val="000000" w:themeColor="text1"/>
        </w:rPr>
        <w:t xml:space="preserve">Since </w:t>
      </w:r>
      <w:r w:rsidR="001C70DB">
        <w:rPr>
          <w:color w:val="000000" w:themeColor="text1"/>
        </w:rPr>
        <w:t>COVID</w:t>
      </w:r>
      <w:r w:rsidRPr="00525082">
        <w:rPr>
          <w:color w:val="000000" w:themeColor="text1"/>
        </w:rPr>
        <w:t xml:space="preserve">-19 arrived on our shores and began to spread, credit card debt has fallen dramatically. From January through March, it was down 7.6 percent (the seasonally adjusted annual rate). In early July, the </w:t>
      </w:r>
      <w:r w:rsidRPr="00525082">
        <w:rPr>
          <w:i/>
          <w:iCs/>
          <w:color w:val="000000" w:themeColor="text1"/>
        </w:rPr>
        <w:t>Federal Reserve</w:t>
      </w:r>
      <w:r w:rsidRPr="00525082">
        <w:rPr>
          <w:color w:val="000000" w:themeColor="text1"/>
        </w:rPr>
        <w:t xml:space="preserve"> reported the numbers through May</w:t>
      </w:r>
      <w:r w:rsidR="001C70DB">
        <w:rPr>
          <w:color w:val="000000" w:themeColor="text1"/>
        </w:rPr>
        <w:t>:</w:t>
      </w:r>
    </w:p>
    <w:p w14:paraId="77794B93" w14:textId="77777777" w:rsidR="00321029" w:rsidRPr="00525082" w:rsidRDefault="00321029" w:rsidP="00525082">
      <w:pPr>
        <w:ind w:right="-36"/>
        <w:rPr>
          <w:color w:val="000000" w:themeColor="text1"/>
        </w:rPr>
      </w:pPr>
    </w:p>
    <w:p w14:paraId="0DCF91E9" w14:textId="49EDBFFD" w:rsidR="00321029" w:rsidRPr="00525082" w:rsidRDefault="00B01F4A" w:rsidP="00525082">
      <w:pPr>
        <w:ind w:right="-36" w:firstLine="720"/>
        <w:rPr>
          <w:color w:val="000000" w:themeColor="text1"/>
        </w:rPr>
      </w:pPr>
      <w:r w:rsidRPr="00525082">
        <w:rPr>
          <w:color w:val="000000" w:themeColor="text1"/>
        </w:rPr>
        <w:t>April</w:t>
      </w:r>
      <w:r w:rsidR="00321029" w:rsidRPr="00525082">
        <w:rPr>
          <w:color w:val="000000" w:themeColor="text1"/>
        </w:rPr>
        <w:t xml:space="preserve"> 2020:</w:t>
      </w:r>
      <w:r w:rsidR="00525082">
        <w:rPr>
          <w:color w:val="000000" w:themeColor="text1"/>
        </w:rPr>
        <w:t xml:space="preserve">  </w:t>
      </w:r>
      <w:r w:rsidR="00321029" w:rsidRPr="00525082">
        <w:rPr>
          <w:color w:val="000000" w:themeColor="text1"/>
        </w:rPr>
        <w:t xml:space="preserve">- </w:t>
      </w:r>
      <w:r w:rsidRPr="00525082">
        <w:rPr>
          <w:color w:val="000000" w:themeColor="text1"/>
        </w:rPr>
        <w:t>64.8 percent</w:t>
      </w:r>
      <w:r w:rsidR="001A3BB4" w:rsidRPr="00525082">
        <w:rPr>
          <w:color w:val="000000" w:themeColor="text1"/>
        </w:rPr>
        <w:t xml:space="preserve"> (seasonally adj. annual rate)</w:t>
      </w:r>
    </w:p>
    <w:p w14:paraId="02C556B8" w14:textId="7D741191" w:rsidR="00B01F4A" w:rsidRPr="00525082" w:rsidRDefault="00B01F4A" w:rsidP="00525082">
      <w:pPr>
        <w:ind w:right="-36" w:firstLine="720"/>
        <w:rPr>
          <w:color w:val="000000" w:themeColor="text1"/>
        </w:rPr>
      </w:pPr>
      <w:r w:rsidRPr="00525082">
        <w:rPr>
          <w:color w:val="000000" w:themeColor="text1"/>
        </w:rPr>
        <w:t>May</w:t>
      </w:r>
      <w:r w:rsidR="00321029" w:rsidRPr="00525082">
        <w:rPr>
          <w:color w:val="000000" w:themeColor="text1"/>
        </w:rPr>
        <w:t xml:space="preserve"> 2020:</w:t>
      </w:r>
      <w:r w:rsidR="00525082">
        <w:rPr>
          <w:color w:val="000000" w:themeColor="text1"/>
        </w:rPr>
        <w:t xml:space="preserve">  </w:t>
      </w:r>
      <w:r w:rsidR="00321029" w:rsidRPr="00525082">
        <w:rPr>
          <w:color w:val="000000" w:themeColor="text1"/>
        </w:rPr>
        <w:t xml:space="preserve">- </w:t>
      </w:r>
      <w:r w:rsidRPr="00525082">
        <w:rPr>
          <w:color w:val="000000" w:themeColor="text1"/>
        </w:rPr>
        <w:t xml:space="preserve">28.6 percent </w:t>
      </w:r>
      <w:r w:rsidR="001A3BB4" w:rsidRPr="00525082">
        <w:rPr>
          <w:color w:val="000000" w:themeColor="text1"/>
        </w:rPr>
        <w:t>(seasonally adj. annual rate)</w:t>
      </w:r>
    </w:p>
    <w:p w14:paraId="0659DA81" w14:textId="77777777" w:rsidR="00321029" w:rsidRPr="00525082" w:rsidRDefault="00321029" w:rsidP="00525082">
      <w:pPr>
        <w:ind w:right="-36"/>
        <w:rPr>
          <w:color w:val="000000" w:themeColor="text1"/>
        </w:rPr>
      </w:pPr>
    </w:p>
    <w:p w14:paraId="3F5572FB" w14:textId="5BEF3E6C" w:rsidR="00A42078" w:rsidRPr="00525082" w:rsidRDefault="00C84E60" w:rsidP="00525082">
      <w:pPr>
        <w:ind w:right="-36"/>
        <w:rPr>
          <w:color w:val="000000" w:themeColor="text1"/>
        </w:rPr>
      </w:pPr>
      <w:r w:rsidRPr="00525082">
        <w:rPr>
          <w:color w:val="000000" w:themeColor="text1"/>
        </w:rPr>
        <w:t xml:space="preserve">Lower spending </w:t>
      </w:r>
      <w:r w:rsidR="00321029" w:rsidRPr="00525082">
        <w:rPr>
          <w:color w:val="000000" w:themeColor="text1"/>
        </w:rPr>
        <w:t>may have contributed</w:t>
      </w:r>
      <w:r w:rsidRPr="00525082">
        <w:rPr>
          <w:color w:val="000000" w:themeColor="text1"/>
        </w:rPr>
        <w:t xml:space="preserve"> to higher savings. </w:t>
      </w:r>
      <w:r w:rsidR="00B01F4A" w:rsidRPr="00525082">
        <w:rPr>
          <w:color w:val="000000" w:themeColor="text1"/>
        </w:rPr>
        <w:t>T</w:t>
      </w:r>
      <w:r w:rsidR="002C61E5" w:rsidRPr="00525082">
        <w:rPr>
          <w:color w:val="000000" w:themeColor="text1"/>
        </w:rPr>
        <w:t>he personal saving rate (PSR) in the U</w:t>
      </w:r>
      <w:r w:rsidR="001C70DB">
        <w:rPr>
          <w:color w:val="000000" w:themeColor="text1"/>
        </w:rPr>
        <w:t>nited States</w:t>
      </w:r>
      <w:r w:rsidR="002C61E5" w:rsidRPr="00525082">
        <w:rPr>
          <w:color w:val="000000" w:themeColor="text1"/>
        </w:rPr>
        <w:t xml:space="preserve"> is the percentage of income left after people </w:t>
      </w:r>
      <w:r w:rsidR="00321029" w:rsidRPr="00525082">
        <w:rPr>
          <w:color w:val="000000" w:themeColor="text1"/>
        </w:rPr>
        <w:t xml:space="preserve">spend money and </w:t>
      </w:r>
      <w:r w:rsidR="002C61E5" w:rsidRPr="00525082">
        <w:rPr>
          <w:color w:val="000000" w:themeColor="text1"/>
        </w:rPr>
        <w:t xml:space="preserve">pay taxes </w:t>
      </w:r>
      <w:r w:rsidR="00321029" w:rsidRPr="00525082">
        <w:rPr>
          <w:color w:val="000000" w:themeColor="text1"/>
        </w:rPr>
        <w:t>each month. I</w:t>
      </w:r>
      <w:r w:rsidRPr="00525082">
        <w:rPr>
          <w:color w:val="000000" w:themeColor="text1"/>
        </w:rPr>
        <w:t xml:space="preserve">t </w:t>
      </w:r>
      <w:r w:rsidR="00A42078" w:rsidRPr="00525082">
        <w:rPr>
          <w:color w:val="000000" w:themeColor="text1"/>
        </w:rPr>
        <w:t>increased dramatically</w:t>
      </w:r>
      <w:r w:rsidR="00321029" w:rsidRPr="00525082">
        <w:rPr>
          <w:color w:val="000000" w:themeColor="text1"/>
        </w:rPr>
        <w:t xml:space="preserve"> in 2020</w:t>
      </w:r>
      <w:r w:rsidR="001000E1">
        <w:rPr>
          <w:color w:val="000000" w:themeColor="text1"/>
        </w:rPr>
        <w:t>:</w:t>
      </w:r>
    </w:p>
    <w:p w14:paraId="516F93E1" w14:textId="40890F81" w:rsidR="00A42078" w:rsidRPr="00525082" w:rsidRDefault="00A42078" w:rsidP="00525082">
      <w:pPr>
        <w:ind w:right="-36"/>
        <w:rPr>
          <w:color w:val="000000" w:themeColor="text1"/>
        </w:rPr>
      </w:pPr>
    </w:p>
    <w:p w14:paraId="720E953E" w14:textId="0F58E4A0" w:rsidR="00C84E60" w:rsidRPr="00525082" w:rsidRDefault="00A42078" w:rsidP="00525082">
      <w:pPr>
        <w:ind w:left="720" w:right="-36" w:hanging="720"/>
        <w:rPr>
          <w:color w:val="000000" w:themeColor="text1"/>
        </w:rPr>
      </w:pPr>
      <w:r w:rsidRPr="00525082">
        <w:rPr>
          <w:color w:val="000000" w:themeColor="text1"/>
        </w:rPr>
        <w:tab/>
      </w:r>
      <w:r w:rsidR="00C84E60" w:rsidRPr="00525082">
        <w:rPr>
          <w:color w:val="000000" w:themeColor="text1"/>
        </w:rPr>
        <w:t>January 2020:</w:t>
      </w:r>
      <w:r w:rsidR="00525082">
        <w:rPr>
          <w:color w:val="000000" w:themeColor="text1"/>
        </w:rPr>
        <w:t xml:space="preserve">  </w:t>
      </w:r>
      <w:r w:rsidR="00C84E60" w:rsidRPr="00525082">
        <w:rPr>
          <w:color w:val="000000" w:themeColor="text1"/>
        </w:rPr>
        <w:t>7.9 percent</w:t>
      </w:r>
      <w:r w:rsidR="001A3BB4" w:rsidRPr="00525082">
        <w:rPr>
          <w:color w:val="000000" w:themeColor="text1"/>
        </w:rPr>
        <w:t xml:space="preserve"> (seasonally adj. annual rate)</w:t>
      </w:r>
    </w:p>
    <w:p w14:paraId="6524AFDD" w14:textId="004D5CF6" w:rsidR="00A42078" w:rsidRPr="00525082" w:rsidRDefault="00C84E60" w:rsidP="00525082">
      <w:pPr>
        <w:ind w:left="720" w:right="-36" w:hanging="720"/>
        <w:rPr>
          <w:color w:val="000000" w:themeColor="text1"/>
        </w:rPr>
      </w:pPr>
      <w:r w:rsidRPr="00525082">
        <w:rPr>
          <w:color w:val="000000" w:themeColor="text1"/>
        </w:rPr>
        <w:tab/>
      </w:r>
      <w:r w:rsidR="00A42078" w:rsidRPr="00525082">
        <w:rPr>
          <w:color w:val="000000" w:themeColor="text1"/>
        </w:rPr>
        <w:t>February 2020:</w:t>
      </w:r>
      <w:r w:rsidR="00525082">
        <w:rPr>
          <w:color w:val="000000" w:themeColor="text1"/>
        </w:rPr>
        <w:t xml:space="preserve">  </w:t>
      </w:r>
      <w:r w:rsidR="00A42078" w:rsidRPr="00525082">
        <w:rPr>
          <w:color w:val="000000" w:themeColor="text1"/>
        </w:rPr>
        <w:t>8.4 percent</w:t>
      </w:r>
      <w:r w:rsidR="001A3BB4" w:rsidRPr="00525082">
        <w:rPr>
          <w:color w:val="000000" w:themeColor="text1"/>
        </w:rPr>
        <w:t xml:space="preserve"> (seasonally adj. annual rate)</w:t>
      </w:r>
    </w:p>
    <w:p w14:paraId="24D39BDA" w14:textId="470A89C5" w:rsidR="00A42078" w:rsidRPr="00525082" w:rsidRDefault="00A42078" w:rsidP="00525082">
      <w:pPr>
        <w:ind w:left="720" w:right="-36" w:hanging="720"/>
        <w:rPr>
          <w:color w:val="000000" w:themeColor="text1"/>
        </w:rPr>
      </w:pPr>
      <w:r w:rsidRPr="00525082">
        <w:rPr>
          <w:color w:val="000000" w:themeColor="text1"/>
        </w:rPr>
        <w:tab/>
        <w:t>March 2020:</w:t>
      </w:r>
      <w:r w:rsidR="00525082">
        <w:rPr>
          <w:color w:val="000000" w:themeColor="text1"/>
        </w:rPr>
        <w:t xml:space="preserve">  </w:t>
      </w:r>
      <w:r w:rsidRPr="00525082">
        <w:rPr>
          <w:color w:val="000000" w:themeColor="text1"/>
        </w:rPr>
        <w:t>12.6 percent</w:t>
      </w:r>
      <w:r w:rsidR="00525082">
        <w:rPr>
          <w:color w:val="000000" w:themeColor="text1"/>
        </w:rPr>
        <w:t xml:space="preserve"> </w:t>
      </w:r>
      <w:r w:rsidR="001A3BB4" w:rsidRPr="00525082">
        <w:rPr>
          <w:color w:val="000000" w:themeColor="text1"/>
        </w:rPr>
        <w:t>(seasonally adj. annual rate)</w:t>
      </w:r>
    </w:p>
    <w:p w14:paraId="5CD536F8" w14:textId="1BBCF5BD" w:rsidR="00A42078" w:rsidRPr="00525082" w:rsidRDefault="00A42078" w:rsidP="00525082">
      <w:pPr>
        <w:ind w:left="720" w:right="-36" w:hanging="720"/>
        <w:rPr>
          <w:color w:val="000000" w:themeColor="text1"/>
        </w:rPr>
      </w:pPr>
      <w:r w:rsidRPr="00525082">
        <w:rPr>
          <w:color w:val="000000" w:themeColor="text1"/>
        </w:rPr>
        <w:tab/>
        <w:t>April 2020:</w:t>
      </w:r>
      <w:r w:rsidR="00525082">
        <w:rPr>
          <w:color w:val="000000" w:themeColor="text1"/>
        </w:rPr>
        <w:t xml:space="preserve">  </w:t>
      </w:r>
      <w:r w:rsidRPr="00525082">
        <w:rPr>
          <w:color w:val="000000" w:themeColor="text1"/>
        </w:rPr>
        <w:t>32.2 percent</w:t>
      </w:r>
      <w:r w:rsidR="001A3BB4" w:rsidRPr="00525082">
        <w:rPr>
          <w:color w:val="000000" w:themeColor="text1"/>
        </w:rPr>
        <w:t xml:space="preserve"> (seasonally adj. annual rate)</w:t>
      </w:r>
    </w:p>
    <w:p w14:paraId="31D14D7F" w14:textId="7D145FD5" w:rsidR="00A42078" w:rsidRPr="00525082" w:rsidRDefault="00A42078" w:rsidP="00525082">
      <w:pPr>
        <w:ind w:left="720" w:right="-36" w:hanging="720"/>
        <w:rPr>
          <w:color w:val="000000" w:themeColor="text1"/>
        </w:rPr>
      </w:pPr>
      <w:r w:rsidRPr="00525082">
        <w:rPr>
          <w:color w:val="000000" w:themeColor="text1"/>
        </w:rPr>
        <w:tab/>
        <w:t>May 2020:</w:t>
      </w:r>
      <w:r w:rsidR="00525082">
        <w:rPr>
          <w:color w:val="000000" w:themeColor="text1"/>
        </w:rPr>
        <w:t xml:space="preserve">  </w:t>
      </w:r>
      <w:r w:rsidRPr="00525082">
        <w:rPr>
          <w:color w:val="000000" w:themeColor="text1"/>
        </w:rPr>
        <w:t>23.2 percent</w:t>
      </w:r>
      <w:r w:rsidR="001A3BB4" w:rsidRPr="00525082">
        <w:rPr>
          <w:color w:val="000000" w:themeColor="text1"/>
        </w:rPr>
        <w:t xml:space="preserve"> (seasonally adj. annual rate)</w:t>
      </w:r>
    </w:p>
    <w:p w14:paraId="7EC0C583" w14:textId="44662B4D" w:rsidR="00A42078" w:rsidRPr="00525082" w:rsidRDefault="00A42078" w:rsidP="00525082">
      <w:pPr>
        <w:ind w:right="-36"/>
        <w:rPr>
          <w:color w:val="000000" w:themeColor="text1"/>
        </w:rPr>
      </w:pPr>
    </w:p>
    <w:p w14:paraId="1F31188E" w14:textId="63499C85" w:rsidR="002C61E5" w:rsidRPr="00525082" w:rsidRDefault="00A42078" w:rsidP="00525082">
      <w:pPr>
        <w:ind w:right="-36"/>
        <w:rPr>
          <w:bCs/>
          <w:color w:val="000000" w:themeColor="text1"/>
        </w:rPr>
      </w:pPr>
      <w:r w:rsidRPr="00525082">
        <w:rPr>
          <w:bCs/>
          <w:color w:val="000000" w:themeColor="text1"/>
        </w:rPr>
        <w:t xml:space="preserve">Some believe higher </w:t>
      </w:r>
      <w:r w:rsidR="00B01F4A" w:rsidRPr="00525082">
        <w:rPr>
          <w:bCs/>
          <w:color w:val="000000" w:themeColor="text1"/>
        </w:rPr>
        <w:t>rates</w:t>
      </w:r>
      <w:r w:rsidRPr="00525082">
        <w:rPr>
          <w:bCs/>
          <w:color w:val="000000" w:themeColor="text1"/>
        </w:rPr>
        <w:t xml:space="preserve"> </w:t>
      </w:r>
      <w:r w:rsidR="00B01F4A" w:rsidRPr="00525082">
        <w:rPr>
          <w:bCs/>
          <w:color w:val="000000" w:themeColor="text1"/>
        </w:rPr>
        <w:t>of saving are</w:t>
      </w:r>
      <w:r w:rsidRPr="00525082">
        <w:rPr>
          <w:bCs/>
          <w:color w:val="000000" w:themeColor="text1"/>
        </w:rPr>
        <w:t xml:space="preserve"> the result of lockdowns and will reverse quickly as states reopen</w:t>
      </w:r>
      <w:r w:rsidR="00C84E60" w:rsidRPr="00525082">
        <w:rPr>
          <w:bCs/>
          <w:color w:val="000000" w:themeColor="text1"/>
        </w:rPr>
        <w:t xml:space="preserve">. </w:t>
      </w:r>
      <w:r w:rsidR="00321029" w:rsidRPr="00525082">
        <w:rPr>
          <w:bCs/>
          <w:color w:val="000000" w:themeColor="text1"/>
        </w:rPr>
        <w:t xml:space="preserve">An analyst cited by Jessica Dickler of </w:t>
      </w:r>
      <w:r w:rsidR="00321029" w:rsidRPr="00525082">
        <w:rPr>
          <w:bCs/>
          <w:i/>
          <w:iCs/>
          <w:color w:val="000000" w:themeColor="text1"/>
        </w:rPr>
        <w:t>CNBC</w:t>
      </w:r>
      <w:r w:rsidR="00321029" w:rsidRPr="00525082">
        <w:rPr>
          <w:bCs/>
          <w:color w:val="000000" w:themeColor="text1"/>
        </w:rPr>
        <w:t xml:space="preserve"> </w:t>
      </w:r>
      <w:r w:rsidR="00347124" w:rsidRPr="00525082">
        <w:rPr>
          <w:bCs/>
          <w:color w:val="000000" w:themeColor="text1"/>
        </w:rPr>
        <w:t xml:space="preserve">explained, </w:t>
      </w:r>
      <w:r w:rsidR="00C64BC9" w:rsidRPr="00525082">
        <w:rPr>
          <w:bCs/>
          <w:color w:val="000000" w:themeColor="text1"/>
        </w:rPr>
        <w:t>“In a month with large government stimulus payments to the majority of U.S. households and widespread economic shutdowns that largely curtailed discretionary spending, the boost to income and the plunge in spending produced an outsized savings rate</w:t>
      </w:r>
      <w:r w:rsidR="00347124" w:rsidRPr="00525082">
        <w:rPr>
          <w:bCs/>
          <w:color w:val="000000" w:themeColor="text1"/>
        </w:rPr>
        <w:t>.</w:t>
      </w:r>
      <w:r w:rsidR="00B01F4A" w:rsidRPr="00525082">
        <w:rPr>
          <w:bCs/>
          <w:color w:val="000000" w:themeColor="text1"/>
        </w:rPr>
        <w:t>”</w:t>
      </w:r>
    </w:p>
    <w:p w14:paraId="034F37C9" w14:textId="111BD2AB" w:rsidR="00B01F4A" w:rsidRPr="00525082" w:rsidRDefault="00B01F4A" w:rsidP="00525082">
      <w:pPr>
        <w:ind w:right="-36"/>
        <w:rPr>
          <w:bCs/>
          <w:color w:val="000000" w:themeColor="text1"/>
        </w:rPr>
      </w:pPr>
    </w:p>
    <w:p w14:paraId="736DA9E2" w14:textId="2495F932" w:rsidR="00B01F4A" w:rsidRPr="00525082" w:rsidRDefault="00C84E60" w:rsidP="00525082">
      <w:pPr>
        <w:ind w:right="-36"/>
        <w:rPr>
          <w:bCs/>
          <w:color w:val="000000" w:themeColor="text1"/>
        </w:rPr>
      </w:pPr>
      <w:r w:rsidRPr="00525082">
        <w:rPr>
          <w:bCs/>
          <w:color w:val="000000" w:themeColor="text1"/>
        </w:rPr>
        <w:t xml:space="preserve">The shift in percentages from April to May appear to support the hypothesis. </w:t>
      </w:r>
      <w:r w:rsidR="00347124" w:rsidRPr="00525082">
        <w:rPr>
          <w:bCs/>
          <w:color w:val="000000" w:themeColor="text1"/>
        </w:rPr>
        <w:t>We won’t really know whether Americans will continue to charge less and save more until the pandemic ends.</w:t>
      </w:r>
    </w:p>
    <w:p w14:paraId="3B5C5B78" w14:textId="77777777" w:rsidR="00C64BC9" w:rsidRPr="00525082" w:rsidRDefault="00C64BC9" w:rsidP="00525082">
      <w:pPr>
        <w:ind w:right="-36"/>
        <w:rPr>
          <w:color w:val="000000" w:themeColor="text1"/>
        </w:rPr>
      </w:pPr>
    </w:p>
    <w:p w14:paraId="40B3408F" w14:textId="6A765B97" w:rsidR="00AD6FF5" w:rsidRPr="00525082" w:rsidRDefault="00FF707C" w:rsidP="00525082">
      <w:pPr>
        <w:ind w:right="-36"/>
        <w:rPr>
          <w:b/>
          <w:color w:val="000000" w:themeColor="text1"/>
          <w:sz w:val="28"/>
          <w:szCs w:val="28"/>
        </w:rPr>
      </w:pPr>
      <w:r w:rsidRPr="00525082">
        <w:rPr>
          <w:b/>
          <w:color w:val="000000" w:themeColor="text1"/>
          <w:sz w:val="28"/>
          <w:szCs w:val="28"/>
        </w:rPr>
        <w:t>W</w:t>
      </w:r>
      <w:r w:rsidR="00425C28" w:rsidRPr="00525082">
        <w:rPr>
          <w:b/>
          <w:color w:val="000000" w:themeColor="text1"/>
          <w:sz w:val="28"/>
          <w:szCs w:val="28"/>
        </w:rPr>
        <w:t xml:space="preserve">eekly Focus – Think </w:t>
      </w:r>
      <w:r w:rsidR="00425C28" w:rsidRPr="00525082">
        <w:rPr>
          <w:b/>
          <w:bCs/>
          <w:color w:val="000000" w:themeColor="text1"/>
          <w:sz w:val="28"/>
          <w:szCs w:val="28"/>
        </w:rPr>
        <w:t>About</w:t>
      </w:r>
      <w:r w:rsidR="00425C28" w:rsidRPr="00525082">
        <w:rPr>
          <w:b/>
          <w:color w:val="000000" w:themeColor="text1"/>
          <w:sz w:val="28"/>
          <w:szCs w:val="28"/>
        </w:rPr>
        <w:t xml:space="preserve"> It</w:t>
      </w:r>
      <w:r w:rsidR="001856C6" w:rsidRPr="00525082">
        <w:rPr>
          <w:color w:val="000000" w:themeColor="text1"/>
          <w:sz w:val="28"/>
          <w:szCs w:val="28"/>
        </w:rPr>
        <w:t xml:space="preserve"> </w:t>
      </w:r>
    </w:p>
    <w:p w14:paraId="09C612CB" w14:textId="77777777" w:rsidR="00525082" w:rsidRDefault="00525082" w:rsidP="00525082">
      <w:pPr>
        <w:ind w:right="-36"/>
        <w:rPr>
          <w:color w:val="000000" w:themeColor="text1"/>
        </w:rPr>
      </w:pPr>
    </w:p>
    <w:p w14:paraId="19A1D915" w14:textId="7A54296C" w:rsidR="00854476" w:rsidRPr="00525082" w:rsidRDefault="0007247D" w:rsidP="00525082">
      <w:pPr>
        <w:ind w:right="-36"/>
        <w:rPr>
          <w:color w:val="000000" w:themeColor="text1"/>
        </w:rPr>
      </w:pPr>
      <w:r w:rsidRPr="00525082">
        <w:rPr>
          <w:color w:val="000000" w:themeColor="text1"/>
        </w:rPr>
        <w:t>“</w:t>
      </w:r>
      <w:r w:rsidR="00854476" w:rsidRPr="00525082">
        <w:rPr>
          <w:color w:val="000000" w:themeColor="text1"/>
        </w:rPr>
        <w:t xml:space="preserve">It’s good to have money and the things that money can buy, but it’s good, too, to check up once in a while and make sure that you haven’t lost the things that money can’t buy.” </w:t>
      </w:r>
    </w:p>
    <w:p w14:paraId="42639739" w14:textId="6321E901" w:rsidR="0008784D" w:rsidRPr="00525082" w:rsidRDefault="00854476" w:rsidP="00525082">
      <w:pPr>
        <w:ind w:right="-36"/>
        <w:jc w:val="right"/>
        <w:rPr>
          <w:i/>
          <w:iCs/>
          <w:color w:val="000000" w:themeColor="text1"/>
        </w:rPr>
      </w:pPr>
      <w:r w:rsidRPr="00525082">
        <w:rPr>
          <w:i/>
          <w:iCs/>
          <w:color w:val="000000" w:themeColor="text1"/>
        </w:rPr>
        <w:t>--George Lorimer, Journalist</w:t>
      </w:r>
    </w:p>
    <w:p w14:paraId="79914D09" w14:textId="77777777" w:rsidR="00264EE8" w:rsidRPr="00525082" w:rsidRDefault="00264EE8" w:rsidP="00525082">
      <w:pPr>
        <w:widowControl w:val="0"/>
        <w:adjustRightInd w:val="0"/>
        <w:ind w:right="-36"/>
        <w:rPr>
          <w:color w:val="000000" w:themeColor="text1"/>
        </w:rPr>
      </w:pPr>
    </w:p>
    <w:p w14:paraId="62AF080A" w14:textId="77777777" w:rsidR="003B181B" w:rsidRPr="00525082" w:rsidRDefault="003B181B" w:rsidP="00525082">
      <w:pPr>
        <w:widowControl w:val="0"/>
        <w:adjustRightInd w:val="0"/>
        <w:ind w:right="-36"/>
        <w:rPr>
          <w:color w:val="000000" w:themeColor="text1"/>
        </w:rPr>
      </w:pPr>
      <w:r w:rsidRPr="00525082">
        <w:rPr>
          <w:color w:val="000000" w:themeColor="text1"/>
        </w:rPr>
        <w:t>Best regards,</w:t>
      </w:r>
    </w:p>
    <w:p w14:paraId="01469DCF" w14:textId="77777777" w:rsidR="00180457" w:rsidRDefault="00180457" w:rsidP="00180457">
      <w:pPr>
        <w:ind w:right="-36"/>
        <w:rPr>
          <w:color w:val="FF0000"/>
        </w:rPr>
      </w:pPr>
    </w:p>
    <w:p w14:paraId="0D20BB4F" w14:textId="77777777" w:rsidR="00180457" w:rsidRDefault="00180457" w:rsidP="00180457">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BBE8684" w14:textId="77777777" w:rsidR="00180457" w:rsidRDefault="00180457" w:rsidP="00180457">
      <w:pPr>
        <w:rPr>
          <w:sz w:val="16"/>
        </w:rPr>
      </w:pPr>
    </w:p>
    <w:p w14:paraId="173B3981" w14:textId="77777777" w:rsidR="00180457" w:rsidRDefault="00180457" w:rsidP="00180457">
      <w:r>
        <w:t>Securities offered through Commonwealth Financial, Member FINRA/SIPC.</w:t>
      </w:r>
    </w:p>
    <w:p w14:paraId="5619C6DB" w14:textId="77777777" w:rsidR="00180457" w:rsidRDefault="00180457" w:rsidP="00180457">
      <w:pPr>
        <w:ind w:right="-36"/>
        <w:rPr>
          <w:sz w:val="22"/>
          <w:szCs w:val="22"/>
        </w:rPr>
      </w:pPr>
    </w:p>
    <w:p w14:paraId="2D1953AB" w14:textId="77777777" w:rsidR="00180457" w:rsidRDefault="00180457" w:rsidP="00525082">
      <w:pPr>
        <w:ind w:right="-36"/>
        <w:rPr>
          <w:color w:val="000000" w:themeColor="text1"/>
          <w:sz w:val="22"/>
          <w:szCs w:val="22"/>
        </w:rPr>
      </w:pPr>
    </w:p>
    <w:p w14:paraId="77C0A472" w14:textId="0EB0BB97" w:rsidR="003B181B" w:rsidRPr="00525082" w:rsidRDefault="003B181B" w:rsidP="00525082">
      <w:pPr>
        <w:ind w:right="-36"/>
        <w:rPr>
          <w:color w:val="000000" w:themeColor="text1"/>
          <w:sz w:val="22"/>
          <w:szCs w:val="22"/>
        </w:rPr>
      </w:pPr>
      <w:r w:rsidRPr="00525082">
        <w:rPr>
          <w:color w:val="000000" w:themeColor="text1"/>
          <w:sz w:val="22"/>
          <w:szCs w:val="22"/>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525082" w:rsidRDefault="003B181B" w:rsidP="00525082">
      <w:pPr>
        <w:ind w:right="-36"/>
        <w:rPr>
          <w:color w:val="000000" w:themeColor="text1"/>
          <w:sz w:val="22"/>
          <w:szCs w:val="22"/>
        </w:rPr>
      </w:pPr>
      <w:r w:rsidRPr="00525082">
        <w:rPr>
          <w:color w:val="000000" w:themeColor="text1"/>
          <w:sz w:val="22"/>
          <w:szCs w:val="22"/>
        </w:rPr>
        <w:t>* This newsletter was prepared by Carson Coaching. Carson Coaching is not affiliated with the named firm or broker/dealer.</w:t>
      </w:r>
    </w:p>
    <w:p w14:paraId="052C1F41" w14:textId="77777777" w:rsidR="003B181B" w:rsidRPr="00525082" w:rsidRDefault="003B181B" w:rsidP="00525082">
      <w:pPr>
        <w:ind w:right="-36"/>
        <w:rPr>
          <w:color w:val="000000" w:themeColor="text1"/>
          <w:sz w:val="22"/>
          <w:szCs w:val="22"/>
        </w:rPr>
      </w:pPr>
      <w:r w:rsidRPr="00525082">
        <w:rPr>
          <w:color w:val="000000" w:themeColor="text1"/>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25082" w:rsidRDefault="003B181B" w:rsidP="00525082">
      <w:pPr>
        <w:ind w:right="-36"/>
        <w:rPr>
          <w:color w:val="000000" w:themeColor="text1"/>
          <w:sz w:val="22"/>
          <w:szCs w:val="22"/>
        </w:rPr>
      </w:pPr>
      <w:r w:rsidRPr="00525082">
        <w:rPr>
          <w:color w:val="000000" w:themeColor="text1"/>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25082" w:rsidRDefault="003B181B" w:rsidP="00525082">
      <w:pPr>
        <w:ind w:right="-36"/>
        <w:rPr>
          <w:color w:val="000000" w:themeColor="text1"/>
          <w:sz w:val="22"/>
          <w:szCs w:val="22"/>
        </w:rPr>
      </w:pPr>
      <w:r w:rsidRPr="00525082">
        <w:rPr>
          <w:color w:val="000000" w:themeColor="text1"/>
          <w:sz w:val="22"/>
          <w:szCs w:val="22"/>
        </w:rPr>
        <w:t>* The Standard &amp; Poor's 500 (S&amp;P 500) is an unmanaged group of securities considered to be representative of the stock market in general. You cannot invest directly in this index.</w:t>
      </w:r>
    </w:p>
    <w:p w14:paraId="1C6726FA" w14:textId="77777777" w:rsidR="003B181B" w:rsidRPr="00525082" w:rsidRDefault="003B181B" w:rsidP="00525082">
      <w:pPr>
        <w:ind w:right="-36"/>
        <w:rPr>
          <w:color w:val="000000" w:themeColor="text1"/>
          <w:sz w:val="22"/>
          <w:szCs w:val="22"/>
        </w:rPr>
      </w:pPr>
      <w:r w:rsidRPr="00525082">
        <w:rPr>
          <w:color w:val="000000" w:themeColor="text1"/>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25082" w:rsidRDefault="003B181B" w:rsidP="00525082">
      <w:pPr>
        <w:ind w:right="-36"/>
        <w:rPr>
          <w:color w:val="000000" w:themeColor="text1"/>
          <w:sz w:val="22"/>
          <w:szCs w:val="22"/>
        </w:rPr>
      </w:pPr>
      <w:r w:rsidRPr="00525082">
        <w:rPr>
          <w:color w:val="000000" w:themeColor="text1"/>
          <w:sz w:val="22"/>
          <w:szCs w:val="22"/>
        </w:rPr>
        <w:t>* The Dow Jones Global ex-U.S. Index covers approximately 95% of the market capitalization of the 45 developed and emerging countries included in the Index.</w:t>
      </w:r>
    </w:p>
    <w:p w14:paraId="40AE9E35" w14:textId="77777777" w:rsidR="003B181B" w:rsidRPr="00525082" w:rsidRDefault="003B181B" w:rsidP="00525082">
      <w:pPr>
        <w:ind w:right="-36"/>
        <w:rPr>
          <w:color w:val="000000" w:themeColor="text1"/>
          <w:sz w:val="22"/>
          <w:szCs w:val="22"/>
        </w:rPr>
      </w:pPr>
      <w:r w:rsidRPr="00525082">
        <w:rPr>
          <w:color w:val="000000" w:themeColor="text1"/>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525082" w:rsidRDefault="003B181B" w:rsidP="00525082">
      <w:pPr>
        <w:ind w:right="-36"/>
        <w:rPr>
          <w:color w:val="000000" w:themeColor="text1"/>
          <w:sz w:val="22"/>
          <w:szCs w:val="22"/>
        </w:rPr>
      </w:pPr>
      <w:r w:rsidRPr="00525082">
        <w:rPr>
          <w:color w:val="000000" w:themeColor="text1"/>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525082" w:rsidRDefault="003B181B" w:rsidP="00525082">
      <w:pPr>
        <w:ind w:right="-36"/>
        <w:rPr>
          <w:color w:val="000000" w:themeColor="text1"/>
          <w:sz w:val="22"/>
          <w:szCs w:val="22"/>
        </w:rPr>
      </w:pPr>
      <w:r w:rsidRPr="00525082">
        <w:rPr>
          <w:color w:val="000000" w:themeColor="text1"/>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25082" w:rsidRDefault="003B181B" w:rsidP="00525082">
      <w:pPr>
        <w:ind w:right="-36"/>
        <w:rPr>
          <w:color w:val="000000" w:themeColor="text1"/>
          <w:sz w:val="22"/>
          <w:szCs w:val="22"/>
        </w:rPr>
      </w:pPr>
      <w:r w:rsidRPr="00525082">
        <w:rPr>
          <w:color w:val="000000" w:themeColor="text1"/>
          <w:sz w:val="22"/>
          <w:szCs w:val="22"/>
        </w:rPr>
        <w:t>* The DJ Equity All REIT Total Return Index measures the total return performance of the equity subcategory of the Real Estate Investment Trust (REIT) industry as calculated by Dow Jones.</w:t>
      </w:r>
    </w:p>
    <w:p w14:paraId="31DEC54F" w14:textId="77777777" w:rsidR="003B181B" w:rsidRPr="00525082" w:rsidRDefault="003B181B" w:rsidP="00525082">
      <w:pPr>
        <w:ind w:right="-36"/>
        <w:rPr>
          <w:color w:val="000000" w:themeColor="text1"/>
          <w:sz w:val="22"/>
          <w:szCs w:val="22"/>
        </w:rPr>
      </w:pPr>
      <w:r w:rsidRPr="00525082">
        <w:rPr>
          <w:color w:val="000000" w:themeColor="text1"/>
          <w:sz w:val="22"/>
          <w:szCs w:val="22"/>
        </w:rPr>
        <w:t>* The Dow Jones Industrial Average (DJIA), commonly known as “The Dow,” is an index representing 30 stock of companies maintained and reviewed by the editors of The Wall Street Journal.</w:t>
      </w:r>
    </w:p>
    <w:p w14:paraId="4A443FE4" w14:textId="77777777" w:rsidR="003B181B" w:rsidRPr="00525082" w:rsidRDefault="003B181B" w:rsidP="00525082">
      <w:pPr>
        <w:ind w:right="-36"/>
        <w:rPr>
          <w:color w:val="000000" w:themeColor="text1"/>
          <w:sz w:val="22"/>
          <w:szCs w:val="22"/>
        </w:rPr>
      </w:pPr>
      <w:r w:rsidRPr="00525082">
        <w:rPr>
          <w:color w:val="000000" w:themeColor="text1"/>
          <w:sz w:val="22"/>
          <w:szCs w:val="22"/>
        </w:rPr>
        <w:t>* The NASDAQ Composite is an unmanaged index of securities traded on the NASDAQ system.</w:t>
      </w:r>
    </w:p>
    <w:p w14:paraId="3753DFA7" w14:textId="77777777" w:rsidR="003B181B" w:rsidRPr="00525082" w:rsidRDefault="003B181B" w:rsidP="00525082">
      <w:pPr>
        <w:ind w:right="-36"/>
        <w:rPr>
          <w:color w:val="000000" w:themeColor="text1"/>
          <w:sz w:val="22"/>
          <w:szCs w:val="22"/>
        </w:rPr>
      </w:pPr>
      <w:r w:rsidRPr="00525082">
        <w:rPr>
          <w:color w:val="000000" w:themeColor="text1"/>
          <w:sz w:val="22"/>
          <w:szCs w:val="22"/>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25082" w:rsidRDefault="003B181B" w:rsidP="00525082">
      <w:pPr>
        <w:ind w:right="-36"/>
        <w:rPr>
          <w:color w:val="000000" w:themeColor="text1"/>
          <w:sz w:val="22"/>
          <w:szCs w:val="22"/>
        </w:rPr>
      </w:pPr>
      <w:r w:rsidRPr="00525082">
        <w:rPr>
          <w:color w:val="000000" w:themeColor="text1"/>
          <w:sz w:val="22"/>
          <w:szCs w:val="22"/>
        </w:rPr>
        <w:t>* Yahoo! Finance is the source for any reference to the performance of an index between two specific periods.</w:t>
      </w:r>
    </w:p>
    <w:p w14:paraId="50E56ED5" w14:textId="77777777" w:rsidR="003B181B" w:rsidRPr="00525082" w:rsidRDefault="003B181B" w:rsidP="00525082">
      <w:pPr>
        <w:adjustRightInd w:val="0"/>
        <w:ind w:right="-36"/>
        <w:rPr>
          <w:color w:val="000000" w:themeColor="text1"/>
          <w:sz w:val="22"/>
          <w:szCs w:val="22"/>
        </w:rPr>
      </w:pPr>
      <w:r w:rsidRPr="00525082">
        <w:rPr>
          <w:color w:val="000000" w:themeColor="text1"/>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25082" w:rsidRDefault="003B181B" w:rsidP="00525082">
      <w:pPr>
        <w:ind w:right="-36"/>
        <w:rPr>
          <w:color w:val="000000" w:themeColor="text1"/>
          <w:sz w:val="22"/>
          <w:szCs w:val="22"/>
        </w:rPr>
      </w:pPr>
      <w:r w:rsidRPr="00525082">
        <w:rPr>
          <w:color w:val="000000" w:themeColor="text1"/>
          <w:sz w:val="22"/>
          <w:szCs w:val="22"/>
        </w:rPr>
        <w:t>* Opinions expressed are subject to change without notice and are not intended as investment advice or to predict future performance.</w:t>
      </w:r>
    </w:p>
    <w:p w14:paraId="1BB039D3" w14:textId="77777777" w:rsidR="003B181B" w:rsidRPr="00525082" w:rsidRDefault="003B181B" w:rsidP="00525082">
      <w:pPr>
        <w:ind w:right="-36"/>
        <w:rPr>
          <w:color w:val="000000" w:themeColor="text1"/>
          <w:sz w:val="22"/>
          <w:szCs w:val="22"/>
        </w:rPr>
      </w:pPr>
      <w:r w:rsidRPr="00525082">
        <w:rPr>
          <w:color w:val="000000" w:themeColor="text1"/>
          <w:sz w:val="22"/>
          <w:szCs w:val="22"/>
        </w:rPr>
        <w:t>* Economic forecasts set forth may not develop as predicted and there can be no guarantee that strategies promoted will be successful.</w:t>
      </w:r>
    </w:p>
    <w:p w14:paraId="52A70B53" w14:textId="77777777" w:rsidR="003B181B" w:rsidRPr="00525082" w:rsidRDefault="003B181B" w:rsidP="00525082">
      <w:pPr>
        <w:ind w:right="-36"/>
        <w:rPr>
          <w:color w:val="000000" w:themeColor="text1"/>
          <w:sz w:val="22"/>
          <w:szCs w:val="22"/>
        </w:rPr>
      </w:pPr>
      <w:r w:rsidRPr="00525082">
        <w:rPr>
          <w:color w:val="000000" w:themeColor="text1"/>
          <w:sz w:val="22"/>
          <w:szCs w:val="22"/>
        </w:rPr>
        <w:t>* Past performance does not guarantee future results. Investing involves risk, including loss of principal.</w:t>
      </w:r>
    </w:p>
    <w:p w14:paraId="6D6A476A" w14:textId="77777777" w:rsidR="003B181B" w:rsidRPr="00525082" w:rsidRDefault="003B181B" w:rsidP="00525082">
      <w:pPr>
        <w:ind w:right="-36"/>
        <w:rPr>
          <w:color w:val="000000" w:themeColor="text1"/>
          <w:sz w:val="22"/>
          <w:szCs w:val="22"/>
        </w:rPr>
      </w:pPr>
      <w:r w:rsidRPr="00525082">
        <w:rPr>
          <w:color w:val="000000" w:themeColor="text1"/>
          <w:sz w:val="22"/>
          <w:szCs w:val="22"/>
        </w:rPr>
        <w:t xml:space="preserve">* </w:t>
      </w:r>
      <w:r w:rsidRPr="00525082">
        <w:rPr>
          <w:color w:val="000000" w:themeColor="text1"/>
          <w:sz w:val="22"/>
          <w:szCs w:val="22"/>
          <w:shd w:val="clear" w:color="auto" w:fill="FFFFFF"/>
        </w:rPr>
        <w:t>The foregoing information has been obtained from sources considered to be reliable, but we do not guarantee it is accurate or complete.</w:t>
      </w:r>
    </w:p>
    <w:p w14:paraId="2142ACAA" w14:textId="77777777" w:rsidR="003B181B" w:rsidRPr="00525082" w:rsidRDefault="003B181B" w:rsidP="00525082">
      <w:pPr>
        <w:ind w:right="-36"/>
        <w:rPr>
          <w:color w:val="000000" w:themeColor="text1"/>
          <w:sz w:val="22"/>
          <w:szCs w:val="22"/>
        </w:rPr>
      </w:pPr>
      <w:r w:rsidRPr="00525082">
        <w:rPr>
          <w:color w:val="000000" w:themeColor="text1"/>
          <w:sz w:val="22"/>
          <w:szCs w:val="22"/>
        </w:rPr>
        <w:t>* There is no guarantee a diversified portfolio will enhance overall returns or outperform a non-diversified portfolio. Diversification does not protect against market risk.</w:t>
      </w:r>
    </w:p>
    <w:p w14:paraId="15E6B2AD" w14:textId="77777777" w:rsidR="003B181B" w:rsidRPr="00525082" w:rsidRDefault="003B181B" w:rsidP="00525082">
      <w:pPr>
        <w:ind w:right="-36"/>
        <w:rPr>
          <w:color w:val="000000" w:themeColor="text1"/>
          <w:sz w:val="22"/>
          <w:szCs w:val="22"/>
        </w:rPr>
      </w:pPr>
      <w:r w:rsidRPr="00525082">
        <w:rPr>
          <w:color w:val="000000" w:themeColor="text1"/>
          <w:sz w:val="22"/>
          <w:szCs w:val="22"/>
        </w:rPr>
        <w:t>* Asset allocation does not ensure a profit or protect against a loss.</w:t>
      </w:r>
    </w:p>
    <w:p w14:paraId="4E61642C" w14:textId="77777777" w:rsidR="003B181B" w:rsidRPr="00525082" w:rsidRDefault="003B181B" w:rsidP="00525082">
      <w:pPr>
        <w:ind w:right="-36"/>
        <w:rPr>
          <w:color w:val="000000" w:themeColor="text1"/>
          <w:sz w:val="22"/>
          <w:szCs w:val="22"/>
        </w:rPr>
      </w:pPr>
      <w:r w:rsidRPr="00525082">
        <w:rPr>
          <w:color w:val="000000" w:themeColor="text1"/>
          <w:sz w:val="22"/>
          <w:szCs w:val="22"/>
        </w:rPr>
        <w:t>* Consult your financial professional before making any investment decision.</w:t>
      </w:r>
    </w:p>
    <w:p w14:paraId="2B3CBC5E" w14:textId="3FAB895C" w:rsidR="003669EE" w:rsidRDefault="003669EE" w:rsidP="00525082">
      <w:pPr>
        <w:ind w:right="-36"/>
        <w:rPr>
          <w:color w:val="000000" w:themeColor="text1"/>
          <w:sz w:val="22"/>
          <w:szCs w:val="22"/>
        </w:rPr>
      </w:pPr>
    </w:p>
    <w:p w14:paraId="32C157C7" w14:textId="77777777" w:rsidR="00180457" w:rsidRPr="00525082" w:rsidRDefault="00180457" w:rsidP="00525082">
      <w:pPr>
        <w:ind w:right="-36"/>
        <w:rPr>
          <w:color w:val="000000" w:themeColor="text1"/>
          <w:sz w:val="22"/>
          <w:szCs w:val="22"/>
        </w:rPr>
      </w:pPr>
    </w:p>
    <w:p w14:paraId="502E0B64" w14:textId="1F66D2F9" w:rsidR="00382257" w:rsidRPr="003D02AC" w:rsidRDefault="003669EE" w:rsidP="00525082">
      <w:pPr>
        <w:widowControl w:val="0"/>
        <w:adjustRightInd w:val="0"/>
        <w:ind w:right="-36"/>
        <w:rPr>
          <w:color w:val="000000" w:themeColor="text1"/>
          <w:sz w:val="22"/>
          <w:szCs w:val="22"/>
        </w:rPr>
      </w:pPr>
      <w:r w:rsidRPr="003D02AC">
        <w:rPr>
          <w:color w:val="000000" w:themeColor="text1"/>
          <w:sz w:val="22"/>
          <w:szCs w:val="22"/>
        </w:rPr>
        <w:lastRenderedPageBreak/>
        <w:t>Sources:</w:t>
      </w:r>
    </w:p>
    <w:p w14:paraId="3288E54D" w14:textId="6CACB618" w:rsidR="00C5474F" w:rsidRPr="003D02AC" w:rsidRDefault="00180457" w:rsidP="00525082">
      <w:pPr>
        <w:widowControl w:val="0"/>
        <w:adjustRightInd w:val="0"/>
        <w:ind w:right="-36"/>
        <w:rPr>
          <w:color w:val="000000" w:themeColor="text1"/>
          <w:sz w:val="22"/>
          <w:szCs w:val="22"/>
        </w:rPr>
      </w:pPr>
      <w:hyperlink r:id="rId8" w:history="1">
        <w:r w:rsidR="00525082" w:rsidRPr="003D02AC">
          <w:rPr>
            <w:rStyle w:val="Hyperlink"/>
            <w:sz w:val="22"/>
            <w:szCs w:val="22"/>
          </w:rPr>
          <w:t>https://www.npr.org/sections/coronavirus-live-updates/2020/07/09/889394605/please-scream-inside-your-heart-japanese-amusement-park-tells-thrill-seekers</w:t>
        </w:r>
      </w:hyperlink>
    </w:p>
    <w:p w14:paraId="643B70F2" w14:textId="24BBFE1C" w:rsidR="00A754E8" w:rsidRPr="003D02AC" w:rsidRDefault="00180457" w:rsidP="00A754E8">
      <w:pPr>
        <w:widowControl w:val="0"/>
        <w:adjustRightInd w:val="0"/>
        <w:ind w:right="-36"/>
        <w:rPr>
          <w:color w:val="000000" w:themeColor="text1"/>
          <w:sz w:val="22"/>
          <w:szCs w:val="22"/>
        </w:rPr>
      </w:pPr>
      <w:hyperlink r:id="rId9" w:history="1">
        <w:r w:rsidR="00525082" w:rsidRPr="003D02AC">
          <w:rPr>
            <w:rStyle w:val="Hyperlink"/>
            <w:sz w:val="22"/>
            <w:szCs w:val="22"/>
          </w:rPr>
          <w:t>https://www.barrons.com/market-data?mod=BOL_TOPNAV</w:t>
        </w:r>
      </w:hyperlink>
      <w:r w:rsidR="00EA6719" w:rsidRPr="003D02AC">
        <w:rPr>
          <w:color w:val="000000" w:themeColor="text1"/>
          <w:sz w:val="22"/>
          <w:szCs w:val="22"/>
        </w:rPr>
        <w:t xml:space="preserve"> (</w:t>
      </w:r>
      <w:r w:rsidR="00EA6719" w:rsidRPr="003D02AC">
        <w:rPr>
          <w:i/>
          <w:iCs/>
          <w:color w:val="000000" w:themeColor="text1"/>
          <w:sz w:val="22"/>
          <w:szCs w:val="22"/>
        </w:rPr>
        <w:t>or go to</w:t>
      </w:r>
      <w:r w:rsidR="00EA6719" w:rsidRPr="003D02AC">
        <w:rPr>
          <w:color w:val="000000" w:themeColor="text1"/>
          <w:sz w:val="22"/>
          <w:szCs w:val="22"/>
        </w:rPr>
        <w:t xml:space="preserve"> </w:t>
      </w:r>
      <w:hyperlink r:id="rId10" w:history="1">
        <w:r w:rsidR="00A754E8" w:rsidRPr="003D02AC">
          <w:rPr>
            <w:rStyle w:val="Hyperlink"/>
            <w:sz w:val="22"/>
            <w:szCs w:val="22"/>
          </w:rPr>
          <w:t>https://peakcontent.s3-us-west-2.amazonaws.com/+Peak+Commentary/07-13-20_Barrons-Market_Data-Footnote_2.pdf</w:t>
        </w:r>
      </w:hyperlink>
      <w:r w:rsidR="00A754E8" w:rsidRPr="003D02AC">
        <w:rPr>
          <w:color w:val="000000" w:themeColor="text1"/>
          <w:sz w:val="22"/>
          <w:szCs w:val="22"/>
        </w:rPr>
        <w:t>)</w:t>
      </w:r>
    </w:p>
    <w:p w14:paraId="42EF2697" w14:textId="6B3D92E9" w:rsidR="00A754E8" w:rsidRPr="003D02AC" w:rsidRDefault="00180457" w:rsidP="00A754E8">
      <w:pPr>
        <w:widowControl w:val="0"/>
        <w:adjustRightInd w:val="0"/>
        <w:ind w:right="-36"/>
        <w:rPr>
          <w:color w:val="000000" w:themeColor="text1"/>
          <w:sz w:val="22"/>
          <w:szCs w:val="22"/>
        </w:rPr>
      </w:pPr>
      <w:hyperlink r:id="rId11" w:history="1">
        <w:r w:rsidR="00525082" w:rsidRPr="003D02AC">
          <w:rPr>
            <w:rStyle w:val="Hyperlink"/>
            <w:sz w:val="22"/>
            <w:szCs w:val="22"/>
          </w:rPr>
          <w:t>https://www.ft.com/content/7954d231-0383-414b-acbc-1b6b7db3b4ac</w:t>
        </w:r>
      </w:hyperlink>
      <w:r w:rsidR="00EA6719" w:rsidRPr="003D02AC">
        <w:rPr>
          <w:color w:val="000000" w:themeColor="text1"/>
          <w:sz w:val="22"/>
          <w:szCs w:val="22"/>
        </w:rPr>
        <w:t xml:space="preserve"> (</w:t>
      </w:r>
      <w:r w:rsidR="00EA6719" w:rsidRPr="003D02AC">
        <w:rPr>
          <w:i/>
          <w:iCs/>
          <w:color w:val="000000" w:themeColor="text1"/>
          <w:sz w:val="22"/>
          <w:szCs w:val="22"/>
        </w:rPr>
        <w:t>or go to</w:t>
      </w:r>
      <w:r w:rsidR="00EA6719" w:rsidRPr="003D02AC">
        <w:rPr>
          <w:color w:val="000000" w:themeColor="text1"/>
          <w:sz w:val="22"/>
          <w:szCs w:val="22"/>
        </w:rPr>
        <w:t xml:space="preserve"> </w:t>
      </w:r>
      <w:hyperlink r:id="rId12" w:history="1">
        <w:r w:rsidR="00A754E8" w:rsidRPr="003D02AC">
          <w:rPr>
            <w:rStyle w:val="Hyperlink"/>
            <w:sz w:val="22"/>
            <w:szCs w:val="22"/>
          </w:rPr>
          <w:t>https://peakcontent.s3-us-west-2.amazonaws.com/+Peak+Commentary/07-13-20_FinancialTimes-Treasury_Yields_Hit_Two-Month_Lows_in_Jittery_Week-Footnote_3.pdf</w:t>
        </w:r>
      </w:hyperlink>
      <w:r w:rsidR="00A754E8" w:rsidRPr="003D02AC">
        <w:rPr>
          <w:color w:val="000000" w:themeColor="text1"/>
          <w:sz w:val="22"/>
          <w:szCs w:val="22"/>
        </w:rPr>
        <w:t>)</w:t>
      </w:r>
    </w:p>
    <w:p w14:paraId="5A70970D" w14:textId="2A63DB83" w:rsidR="006B7844" w:rsidRPr="003D02AC" w:rsidRDefault="00180457" w:rsidP="00525082">
      <w:pPr>
        <w:widowControl w:val="0"/>
        <w:adjustRightInd w:val="0"/>
        <w:ind w:right="-36"/>
        <w:rPr>
          <w:color w:val="000000" w:themeColor="text1"/>
          <w:sz w:val="22"/>
          <w:szCs w:val="22"/>
        </w:rPr>
      </w:pPr>
      <w:hyperlink r:id="rId13" w:history="1">
        <w:r w:rsidR="00525082" w:rsidRPr="003D02AC">
          <w:rPr>
            <w:rStyle w:val="Hyperlink"/>
            <w:sz w:val="22"/>
            <w:szCs w:val="22"/>
          </w:rPr>
          <w:t>https://www.morningstar.com/articles/979322/is-recency-bias-swaying-your-investing-decisions</w:t>
        </w:r>
      </w:hyperlink>
    </w:p>
    <w:p w14:paraId="0FF11201" w14:textId="4E2D2147" w:rsidR="009A5EA8" w:rsidRPr="003D02AC" w:rsidRDefault="00180457" w:rsidP="00525082">
      <w:pPr>
        <w:widowControl w:val="0"/>
        <w:adjustRightInd w:val="0"/>
        <w:ind w:right="-36"/>
        <w:rPr>
          <w:color w:val="000000" w:themeColor="text1"/>
          <w:sz w:val="22"/>
          <w:szCs w:val="22"/>
        </w:rPr>
      </w:pPr>
      <w:hyperlink r:id="rId14" w:history="1">
        <w:r w:rsidR="00525082" w:rsidRPr="003D02AC">
          <w:rPr>
            <w:rStyle w:val="Hyperlink"/>
            <w:sz w:val="22"/>
            <w:szCs w:val="22"/>
          </w:rPr>
          <w:t>https://www.federalreserve.gov/releases/g19/current/default.htm</w:t>
        </w:r>
      </w:hyperlink>
    </w:p>
    <w:p w14:paraId="0469BEBE" w14:textId="05DFE165" w:rsidR="00A42078" w:rsidRPr="003D02AC" w:rsidRDefault="00180457" w:rsidP="00525082">
      <w:pPr>
        <w:widowControl w:val="0"/>
        <w:adjustRightInd w:val="0"/>
        <w:ind w:right="-36"/>
        <w:rPr>
          <w:color w:val="000000" w:themeColor="text1"/>
          <w:sz w:val="22"/>
          <w:szCs w:val="22"/>
        </w:rPr>
      </w:pPr>
      <w:hyperlink r:id="rId15" w:history="1">
        <w:r w:rsidR="00525082" w:rsidRPr="003D02AC">
          <w:rPr>
            <w:rStyle w:val="Hyperlink"/>
            <w:sz w:val="22"/>
            <w:szCs w:val="22"/>
          </w:rPr>
          <w:t>https://fred.stlouisfed.org/series/PSAVERT</w:t>
        </w:r>
      </w:hyperlink>
    </w:p>
    <w:p w14:paraId="6D154617" w14:textId="57E19E63" w:rsidR="00760FF1" w:rsidRPr="003D02AC" w:rsidRDefault="00180457" w:rsidP="00525082">
      <w:pPr>
        <w:widowControl w:val="0"/>
        <w:adjustRightInd w:val="0"/>
        <w:ind w:right="-36"/>
        <w:rPr>
          <w:color w:val="000000" w:themeColor="text1"/>
          <w:sz w:val="22"/>
          <w:szCs w:val="22"/>
        </w:rPr>
      </w:pPr>
      <w:hyperlink r:id="rId16" w:history="1">
        <w:r w:rsidR="001A3BB4" w:rsidRPr="003D02AC">
          <w:rPr>
            <w:rStyle w:val="Hyperlink"/>
            <w:color w:val="0432FF"/>
            <w:sz w:val="22"/>
            <w:szCs w:val="22"/>
          </w:rPr>
          <w:t>https://www.bea.gov/sites/default/files/2020-06/pi0520_0.pdf</w:t>
        </w:r>
      </w:hyperlink>
      <w:r w:rsidR="001A3BB4" w:rsidRPr="003D02AC">
        <w:rPr>
          <w:color w:val="0432FF"/>
          <w:sz w:val="22"/>
          <w:szCs w:val="22"/>
        </w:rPr>
        <w:t xml:space="preserve"> </w:t>
      </w:r>
      <w:r w:rsidR="00525082" w:rsidRPr="003D02AC">
        <w:rPr>
          <w:color w:val="000000" w:themeColor="text1"/>
          <w:sz w:val="22"/>
          <w:szCs w:val="22"/>
        </w:rPr>
        <w:t>(</w:t>
      </w:r>
      <w:r w:rsidR="001A3BB4" w:rsidRPr="003D02AC">
        <w:rPr>
          <w:color w:val="000000" w:themeColor="text1"/>
          <w:sz w:val="22"/>
          <w:szCs w:val="22"/>
        </w:rPr>
        <w:t>Table 1</w:t>
      </w:r>
      <w:r w:rsidR="00EA6719" w:rsidRPr="003D02AC">
        <w:rPr>
          <w:color w:val="000000" w:themeColor="text1"/>
          <w:sz w:val="22"/>
          <w:szCs w:val="22"/>
        </w:rPr>
        <w:t>, page 6</w:t>
      </w:r>
      <w:r w:rsidR="00525082" w:rsidRPr="003D02AC">
        <w:rPr>
          <w:color w:val="000000" w:themeColor="text1"/>
          <w:sz w:val="22"/>
          <w:szCs w:val="22"/>
        </w:rPr>
        <w:t>)</w:t>
      </w:r>
    </w:p>
    <w:p w14:paraId="303D4850" w14:textId="48C2FEC8" w:rsidR="00B01F4A" w:rsidRPr="003D02AC" w:rsidRDefault="00180457" w:rsidP="00525082">
      <w:pPr>
        <w:widowControl w:val="0"/>
        <w:adjustRightInd w:val="0"/>
        <w:ind w:right="-36"/>
        <w:rPr>
          <w:color w:val="000000" w:themeColor="text1"/>
          <w:sz w:val="22"/>
          <w:szCs w:val="22"/>
        </w:rPr>
      </w:pPr>
      <w:hyperlink r:id="rId17" w:history="1">
        <w:r w:rsidR="00525082" w:rsidRPr="003D02AC">
          <w:rPr>
            <w:rStyle w:val="Hyperlink"/>
            <w:sz w:val="22"/>
            <w:szCs w:val="22"/>
          </w:rPr>
          <w:t>https://www.cnbc.com/2020/05/29/americans-are-saving-more-and-spending-less-but-its-unlikely-to-continue.html</w:t>
        </w:r>
      </w:hyperlink>
    </w:p>
    <w:p w14:paraId="0E64593A" w14:textId="6CEF489D" w:rsidR="00B621D8" w:rsidRPr="003D02AC" w:rsidRDefault="00180457" w:rsidP="00525082">
      <w:pPr>
        <w:widowControl w:val="0"/>
        <w:adjustRightInd w:val="0"/>
        <w:ind w:right="-36"/>
        <w:rPr>
          <w:color w:val="000000" w:themeColor="text1"/>
          <w:sz w:val="22"/>
          <w:szCs w:val="22"/>
        </w:rPr>
      </w:pPr>
      <w:hyperlink r:id="rId18" w:history="1">
        <w:r w:rsidR="00525082" w:rsidRPr="003D02AC">
          <w:rPr>
            <w:rStyle w:val="Hyperlink"/>
            <w:sz w:val="22"/>
            <w:szCs w:val="22"/>
          </w:rPr>
          <w:t>https://www.success.com/19-wise-money-quotes/</w:t>
        </w:r>
      </w:hyperlink>
    </w:p>
    <w:p w14:paraId="535F1C64" w14:textId="77777777" w:rsidR="00525082" w:rsidRPr="003D02AC" w:rsidRDefault="00525082" w:rsidP="00525082">
      <w:pPr>
        <w:widowControl w:val="0"/>
        <w:adjustRightInd w:val="0"/>
        <w:ind w:right="-36"/>
        <w:rPr>
          <w:color w:val="000000" w:themeColor="text1"/>
          <w:sz w:val="22"/>
          <w:szCs w:val="22"/>
        </w:rPr>
      </w:pPr>
    </w:p>
    <w:sectPr w:rsidR="00525082" w:rsidRPr="003D02AC" w:rsidSect="0052508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1A08" w14:textId="77777777" w:rsidR="00F743EC" w:rsidRDefault="00F743EC" w:rsidP="006C05CA">
      <w:r>
        <w:separator/>
      </w:r>
    </w:p>
  </w:endnote>
  <w:endnote w:type="continuationSeparator" w:id="0">
    <w:p w14:paraId="5FE3E104" w14:textId="77777777" w:rsidR="00F743EC" w:rsidRDefault="00F743E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9275" w14:textId="77777777" w:rsidR="00F743EC" w:rsidRDefault="00F743EC" w:rsidP="006C05CA">
      <w:r>
        <w:separator/>
      </w:r>
    </w:p>
  </w:footnote>
  <w:footnote w:type="continuationSeparator" w:id="0">
    <w:p w14:paraId="675AB1EE" w14:textId="77777777" w:rsidR="00F743EC" w:rsidRDefault="00F743EC"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3"/>
  </w:num>
  <w:num w:numId="5">
    <w:abstractNumId w:val="10"/>
  </w:num>
  <w:num w:numId="6">
    <w:abstractNumId w:val="7"/>
  </w:num>
  <w:num w:numId="7">
    <w:abstractNumId w:val="1"/>
  </w:num>
  <w:num w:numId="8">
    <w:abstractNumId w:val="6"/>
  </w:num>
  <w:num w:numId="9">
    <w:abstractNumId w:val="2"/>
  </w:num>
  <w:num w:numId="10">
    <w:abstractNumId w:val="3"/>
  </w:num>
  <w:num w:numId="11">
    <w:abstractNumId w:val="11"/>
  </w:num>
  <w:num w:numId="12">
    <w:abstractNumId w:val="12"/>
  </w:num>
  <w:num w:numId="13">
    <w:abstractNumId w:val="14"/>
  </w:num>
  <w:num w:numId="14">
    <w:abstractNumId w:val="8"/>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0E1"/>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57"/>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606"/>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0DB"/>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8A2"/>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30"/>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4E11"/>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2AC"/>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7CA"/>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E9"/>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082"/>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88"/>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4E8"/>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719"/>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5"/>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80"/>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980"/>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3EC"/>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1804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689475">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coronavirus-live-updates/2020/07/09/889394605/please-scream-inside-your-heart-japanese-amusement-park-tells-thrill-seekers" TargetMode="External"/><Relationship Id="rId13" Type="http://schemas.openxmlformats.org/officeDocument/2006/relationships/hyperlink" Target="https://www.morningstar.com/articles/979322/is-recency-bias-swaying-your-investing-decisions" TargetMode="External"/><Relationship Id="rId18" Type="http://schemas.openxmlformats.org/officeDocument/2006/relationships/hyperlink" Target="https://www.success.com/19-wise-money-quo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kcontent.s3-us-west-2.amazonaws.com/+Peak+Commentary/07-13-20_FinancialTimes-Treasury_Yields_Hit_Two-Month_Lows_in_Jittery_Week-Footnote_3.pdf" TargetMode="External"/><Relationship Id="rId17" Type="http://schemas.openxmlformats.org/officeDocument/2006/relationships/hyperlink" Target="https://www.cnbc.com/2020/05/29/americans-are-saving-more-and-spending-less-but-its-unlikely-to-continue.html" TargetMode="External"/><Relationship Id="rId2" Type="http://schemas.openxmlformats.org/officeDocument/2006/relationships/numbering" Target="numbering.xml"/><Relationship Id="rId16" Type="http://schemas.openxmlformats.org/officeDocument/2006/relationships/hyperlink" Target="https://www.bea.gov/sites/default/files/2020-06/pi0520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7954d231-0383-414b-acbc-1b6b7db3b4ac" TargetMode="External"/><Relationship Id="rId5" Type="http://schemas.openxmlformats.org/officeDocument/2006/relationships/webSettings" Target="webSettings.xml"/><Relationship Id="rId15" Type="http://schemas.openxmlformats.org/officeDocument/2006/relationships/hyperlink" Target="https://fred.stlouisfed.org/series/PSAVERT" TargetMode="External"/><Relationship Id="rId10" Type="http://schemas.openxmlformats.org/officeDocument/2006/relationships/hyperlink" Target="https://peakcontent.s3-us-west-2.amazonaws.com/+Peak+Commentary/07-13-20_Barrons-Market_Data-Footnote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rons.com/market-data?mod=BOL_TOPNAV" TargetMode="External"/><Relationship Id="rId14" Type="http://schemas.openxmlformats.org/officeDocument/2006/relationships/hyperlink" Target="https://www.federalreserve.gov/releases/g19/current/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3E10-AB5E-42F8-AB59-BB31F7B3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Weekly Commentary 07-13-20</vt:lpstr>
    </vt:vector>
  </TitlesOfParts>
  <Manager/>
  <Company/>
  <LinksUpToDate>false</LinksUpToDate>
  <CharactersWithSpaces>11567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07-13-20</dc:title>
  <dc:subject/>
  <dc:creator>Carson Coaching</dc:creator>
  <cp:keywords/>
  <dc:description/>
  <cp:lastModifiedBy>Noraleen LeClaire</cp:lastModifiedBy>
  <cp:revision>2</cp:revision>
  <cp:lastPrinted>2020-07-12T20:15:00Z</cp:lastPrinted>
  <dcterms:created xsi:type="dcterms:W3CDTF">2020-07-16T17:44:00Z</dcterms:created>
  <dcterms:modified xsi:type="dcterms:W3CDTF">2020-07-16T17:44:00Z</dcterms:modified>
  <cp:category/>
</cp:coreProperties>
</file>